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727" w:rsidRDefault="00D07727" w:rsidP="005C1114">
      <w:pPr>
        <w:widowControl w:val="0"/>
        <w:tabs>
          <w:tab w:val="left" w:pos="851"/>
        </w:tabs>
        <w:spacing w:before="100" w:beforeAutospacing="1" w:after="100" w:afterAutospacing="1" w:line="360" w:lineRule="auto"/>
        <w:ind w:right="-164"/>
        <w:jc w:val="both"/>
        <w:rPr>
          <w:rFonts w:ascii="Palatino Linotype" w:eastAsia="Calibri" w:hAnsi="Palatino Linotype" w:cs="Arial"/>
          <w:b/>
          <w:color w:val="000000"/>
        </w:rPr>
      </w:pPr>
      <w:r w:rsidRPr="00E91339">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F87C5C">
        <w:rPr>
          <w:rFonts w:ascii="Palatino Linotype" w:hAnsi="Palatino Linotype" w:cs="Arial"/>
          <w:b/>
        </w:rPr>
        <w:t xml:space="preserve">VIGÉSIMA </w:t>
      </w:r>
      <w:r w:rsidR="00197397">
        <w:rPr>
          <w:rFonts w:ascii="Palatino Linotype" w:hAnsi="Palatino Linotype" w:cs="Arial"/>
          <w:b/>
        </w:rPr>
        <w:t xml:space="preserve">NOVENA </w:t>
      </w:r>
      <w:r w:rsidRPr="00E91339">
        <w:rPr>
          <w:rFonts w:ascii="Palatino Linotype" w:hAnsi="Palatino Linotype" w:cs="Arial"/>
          <w:b/>
        </w:rPr>
        <w:t>SESIÓN ORDINARIA DE</w:t>
      </w:r>
      <w:r w:rsidR="00604F1B" w:rsidRPr="00E91339">
        <w:rPr>
          <w:rFonts w:ascii="Palatino Linotype" w:hAnsi="Palatino Linotype" w:cs="Arial"/>
          <w:b/>
        </w:rPr>
        <w:t>L</w:t>
      </w:r>
      <w:r w:rsidRPr="00E91339">
        <w:rPr>
          <w:rFonts w:ascii="Palatino Linotype" w:hAnsi="Palatino Linotype" w:cs="Arial"/>
          <w:b/>
        </w:rPr>
        <w:t xml:space="preserve"> </w:t>
      </w:r>
      <w:r w:rsidR="00197397">
        <w:rPr>
          <w:rFonts w:ascii="Palatino Linotype" w:hAnsi="Palatino Linotype" w:cs="Arial"/>
          <w:b/>
        </w:rPr>
        <w:t xml:space="preserve">QUINCE </w:t>
      </w:r>
      <w:r w:rsidRPr="00E91339">
        <w:rPr>
          <w:rFonts w:ascii="Palatino Linotype" w:hAnsi="Palatino Linotype" w:cs="Arial"/>
          <w:b/>
        </w:rPr>
        <w:t xml:space="preserve">DE </w:t>
      </w:r>
      <w:r w:rsidR="00197397">
        <w:rPr>
          <w:rFonts w:ascii="Palatino Linotype" w:hAnsi="Palatino Linotype" w:cs="Arial"/>
          <w:b/>
        </w:rPr>
        <w:t>AGOSTO</w:t>
      </w:r>
      <w:r w:rsidR="00620028" w:rsidRPr="00E91339">
        <w:rPr>
          <w:rFonts w:ascii="Palatino Linotype" w:hAnsi="Palatino Linotype" w:cs="Arial"/>
          <w:b/>
        </w:rPr>
        <w:t xml:space="preserve"> </w:t>
      </w:r>
      <w:r w:rsidRPr="00E91339">
        <w:rPr>
          <w:rFonts w:ascii="Palatino Linotype" w:hAnsi="Palatino Linotype" w:cs="Arial"/>
          <w:b/>
        </w:rPr>
        <w:t>DE DOS MIL DIECIOCHO,</w:t>
      </w:r>
      <w:r w:rsidR="00197397">
        <w:rPr>
          <w:rFonts w:ascii="Palatino Linotype" w:hAnsi="Palatino Linotype" w:cs="Arial"/>
          <w:b/>
        </w:rPr>
        <w:t xml:space="preserve"> EN EL RECURSO DE REVISIÓN 02376</w:t>
      </w:r>
      <w:r w:rsidR="00620028" w:rsidRPr="00E91339">
        <w:rPr>
          <w:rFonts w:ascii="Palatino Linotype" w:hAnsi="Palatino Linotype" w:cs="Arial"/>
          <w:b/>
        </w:rPr>
        <w:t>/INFOEM/IP/RR/2018</w:t>
      </w:r>
      <w:r w:rsidRPr="00E91339">
        <w:rPr>
          <w:rFonts w:ascii="Palatino Linotype" w:eastAsia="Calibri" w:hAnsi="Palatino Linotype" w:cs="Arial"/>
          <w:b/>
          <w:color w:val="000000"/>
        </w:rPr>
        <w:t>.</w:t>
      </w:r>
    </w:p>
    <w:p w:rsidR="00D07727" w:rsidRDefault="00D07727" w:rsidP="005C1114">
      <w:pPr>
        <w:spacing w:before="100" w:beforeAutospacing="1" w:after="100" w:afterAutospacing="1" w:line="360" w:lineRule="auto"/>
        <w:jc w:val="both"/>
        <w:rPr>
          <w:rFonts w:ascii="Palatino Linotype" w:hAnsi="Palatino Linotype" w:cs="Arial"/>
        </w:rPr>
      </w:pPr>
      <w:r w:rsidRPr="00E91339">
        <w:rPr>
          <w:rFonts w:ascii="Palatino Linotype" w:hAnsi="Palatino Linotype" w:cs="Arial"/>
        </w:rPr>
        <w:t>Con fundamento en lo dispuesto por el artículo 14</w:t>
      </w:r>
      <w:r w:rsidR="00F87C5C">
        <w:rPr>
          <w:rFonts w:ascii="Palatino Linotype" w:hAnsi="Palatino Linotype" w:cs="Arial"/>
        </w:rPr>
        <w:t>,</w:t>
      </w:r>
      <w:r w:rsidRPr="00E91339">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E91339">
        <w:rPr>
          <w:rFonts w:ascii="Palatino Linotype" w:hAnsi="Palatino Linotype" w:cs="Arial"/>
          <w:b/>
          <w:lang w:val="es-ES_tradnl"/>
        </w:rPr>
        <w:t xml:space="preserve"> </w:t>
      </w:r>
      <w:r w:rsidRPr="00E91339">
        <w:rPr>
          <w:rFonts w:ascii="Palatino Linotype" w:hAnsi="Palatino Linotype" w:cs="Arial"/>
          <w:b/>
        </w:rPr>
        <w:t xml:space="preserve">EVA ABAID YAPUR </w:t>
      </w:r>
      <w:r w:rsidRPr="00E91339">
        <w:rPr>
          <w:rFonts w:ascii="Palatino Linotype" w:hAnsi="Palatino Linotype" w:cs="Arial"/>
        </w:rPr>
        <w:t xml:space="preserve">emite </w:t>
      </w:r>
      <w:r w:rsidRPr="00E91339">
        <w:rPr>
          <w:rFonts w:ascii="Palatino Linotype" w:hAnsi="Palatino Linotype" w:cs="Arial"/>
          <w:b/>
        </w:rPr>
        <w:t xml:space="preserve">VOTO PARTICULAR </w:t>
      </w:r>
      <w:r w:rsidRPr="00E91339">
        <w:rPr>
          <w:rFonts w:ascii="Palatino Linotype" w:hAnsi="Palatino Linotype" w:cs="Arial"/>
        </w:rPr>
        <w:t xml:space="preserve">respecto de la resolución dictada en el recurso de revisión </w:t>
      </w:r>
      <w:r w:rsidRPr="00E91339">
        <w:rPr>
          <w:rFonts w:ascii="Palatino Linotype" w:eastAsia="Calibri" w:hAnsi="Palatino Linotype" w:cs="Arial"/>
          <w:b/>
          <w:color w:val="000000"/>
        </w:rPr>
        <w:t>0</w:t>
      </w:r>
      <w:r w:rsidR="00197397">
        <w:rPr>
          <w:rFonts w:ascii="Palatino Linotype" w:eastAsia="Calibri" w:hAnsi="Palatino Linotype" w:cs="Arial"/>
          <w:b/>
          <w:color w:val="000000"/>
        </w:rPr>
        <w:t>2376</w:t>
      </w:r>
      <w:r w:rsidRPr="00E91339">
        <w:rPr>
          <w:rFonts w:ascii="Palatino Linotype" w:eastAsia="Calibri" w:hAnsi="Palatino Linotype" w:cs="Arial"/>
          <w:b/>
          <w:color w:val="000000"/>
        </w:rPr>
        <w:t>/INFOEM/IP/RR/201</w:t>
      </w:r>
      <w:r w:rsidR="00620028" w:rsidRPr="00E91339">
        <w:rPr>
          <w:rFonts w:ascii="Palatino Linotype" w:eastAsia="Calibri" w:hAnsi="Palatino Linotype" w:cs="Arial"/>
          <w:b/>
          <w:color w:val="000000"/>
        </w:rPr>
        <w:t>8</w:t>
      </w:r>
      <w:r w:rsidRPr="00E91339">
        <w:rPr>
          <w:rFonts w:ascii="Palatino Linotype" w:hAnsi="Palatino Linotype" w:cs="Arial"/>
        </w:rPr>
        <w:t xml:space="preserve">, pronunciada por el Pleno de este Instituto ante el proyecto presentado por </w:t>
      </w:r>
      <w:r w:rsidR="00AE5291" w:rsidRPr="00E91339">
        <w:rPr>
          <w:rFonts w:ascii="Palatino Linotype" w:hAnsi="Palatino Linotype" w:cs="Arial"/>
        </w:rPr>
        <w:t>el</w:t>
      </w:r>
      <w:r w:rsidRPr="00E91339">
        <w:rPr>
          <w:rFonts w:ascii="Palatino Linotype" w:hAnsi="Palatino Linotype" w:cs="Arial"/>
        </w:rPr>
        <w:t xml:space="preserve"> Comisionad</w:t>
      </w:r>
      <w:r w:rsidR="00AE5291" w:rsidRPr="00E91339">
        <w:rPr>
          <w:rFonts w:ascii="Palatino Linotype" w:hAnsi="Palatino Linotype" w:cs="Arial"/>
        </w:rPr>
        <w:t>o</w:t>
      </w:r>
      <w:r w:rsidRPr="00E91339">
        <w:rPr>
          <w:rFonts w:ascii="Palatino Linotype" w:hAnsi="Palatino Linotype" w:cs="Arial"/>
        </w:rPr>
        <w:t xml:space="preserve"> </w:t>
      </w:r>
      <w:r w:rsidR="00AE5291" w:rsidRPr="00E91339">
        <w:rPr>
          <w:rFonts w:ascii="Palatino Linotype" w:hAnsi="Palatino Linotype" w:cs="Arial"/>
          <w:b/>
        </w:rPr>
        <w:t>JAVIER MARTÍNEZ CRUZ</w:t>
      </w:r>
      <w:r w:rsidRPr="00E91339">
        <w:rPr>
          <w:rFonts w:ascii="Palatino Linotype" w:hAnsi="Palatino Linotype" w:cs="Arial"/>
        </w:rPr>
        <w:t>, que es del tenor siguiente.</w:t>
      </w:r>
    </w:p>
    <w:p w:rsidR="00197397" w:rsidRDefault="00D07727" w:rsidP="005C1114">
      <w:pPr>
        <w:spacing w:before="100" w:beforeAutospacing="1" w:after="100" w:afterAutospacing="1" w:line="360" w:lineRule="auto"/>
        <w:ind w:right="51"/>
        <w:jc w:val="both"/>
        <w:rPr>
          <w:rFonts w:ascii="Palatino Linotype" w:hAnsi="Palatino Linotype"/>
        </w:rPr>
      </w:pPr>
      <w:r w:rsidRPr="00E91339">
        <w:rPr>
          <w:rFonts w:ascii="Palatino Linotype" w:hAnsi="Palatino Linotype"/>
        </w:rPr>
        <w:t>En primer término, es de señalar como quedó debidamente asentado en la resolución materia del presente voto</w:t>
      </w:r>
      <w:r w:rsidR="00620028" w:rsidRPr="00E91339">
        <w:rPr>
          <w:rFonts w:ascii="Palatino Linotype" w:hAnsi="Palatino Linotype"/>
        </w:rPr>
        <w:t xml:space="preserve">, </w:t>
      </w:r>
      <w:r w:rsidR="00197397">
        <w:rPr>
          <w:rFonts w:ascii="Palatino Linotype" w:hAnsi="Palatino Linotype"/>
        </w:rPr>
        <w:t>el</w:t>
      </w:r>
      <w:r w:rsidRPr="00E91339">
        <w:rPr>
          <w:rFonts w:ascii="Palatino Linotype" w:hAnsi="Palatino Linotype"/>
        </w:rPr>
        <w:t xml:space="preserve"> particular requirió a</w:t>
      </w:r>
      <w:r w:rsidR="004605B4" w:rsidRPr="00E91339">
        <w:rPr>
          <w:rFonts w:ascii="Palatino Linotype" w:hAnsi="Palatino Linotype"/>
        </w:rPr>
        <w:t xml:space="preserve"> </w:t>
      </w:r>
      <w:r w:rsidR="00AE5291" w:rsidRPr="00E91339">
        <w:rPr>
          <w:rFonts w:ascii="Palatino Linotype" w:hAnsi="Palatino Linotype"/>
        </w:rPr>
        <w:t xml:space="preserve">la </w:t>
      </w:r>
      <w:r w:rsidR="00AE5291" w:rsidRPr="00E91339">
        <w:rPr>
          <w:rFonts w:ascii="Palatino Linotype" w:hAnsi="Palatino Linotype"/>
          <w:b/>
        </w:rPr>
        <w:t xml:space="preserve">Secretaría de </w:t>
      </w:r>
      <w:r w:rsidR="00197397">
        <w:rPr>
          <w:rFonts w:ascii="Palatino Linotype" w:hAnsi="Palatino Linotype"/>
          <w:b/>
        </w:rPr>
        <w:t>Desarrollo Urbano y Metropolitano</w:t>
      </w:r>
      <w:r w:rsidR="004605B4" w:rsidRPr="00E91339">
        <w:rPr>
          <w:rFonts w:ascii="Palatino Linotype" w:hAnsi="Palatino Linotype"/>
        </w:rPr>
        <w:t xml:space="preserve">, en lo sucesivo </w:t>
      </w:r>
      <w:r w:rsidR="004605B4" w:rsidRPr="00E91339">
        <w:rPr>
          <w:rFonts w:ascii="Palatino Linotype" w:hAnsi="Palatino Linotype"/>
          <w:b/>
        </w:rPr>
        <w:t xml:space="preserve">EL </w:t>
      </w:r>
      <w:r w:rsidR="00757442" w:rsidRPr="00E91339">
        <w:rPr>
          <w:rFonts w:ascii="Palatino Linotype" w:hAnsi="Palatino Linotype"/>
          <w:b/>
        </w:rPr>
        <w:t xml:space="preserve">SUJETO OBLIGADO, </w:t>
      </w:r>
      <w:r w:rsidR="00197397">
        <w:rPr>
          <w:rFonts w:ascii="Palatino Linotype" w:hAnsi="Palatino Linotype"/>
        </w:rPr>
        <w:t>con relación al predio donde se localiza el “Hospital Ángeles Lomas”, ubicado en Huixquilucan Estado de México, lo siguiente:</w:t>
      </w:r>
    </w:p>
    <w:p w:rsidR="00197397" w:rsidRPr="00197397" w:rsidRDefault="00197397" w:rsidP="005C1114">
      <w:pPr>
        <w:pStyle w:val="Prrafodelista"/>
        <w:numPr>
          <w:ilvl w:val="0"/>
          <w:numId w:val="4"/>
        </w:numPr>
        <w:ind w:left="851" w:right="902" w:firstLine="0"/>
        <w:contextualSpacing w:val="0"/>
        <w:jc w:val="both"/>
        <w:rPr>
          <w:rFonts w:ascii="Palatino Linotype" w:hAnsi="Palatino Linotype"/>
          <w:i/>
          <w:sz w:val="22"/>
        </w:rPr>
      </w:pPr>
      <w:r w:rsidRPr="00197397">
        <w:rPr>
          <w:rFonts w:ascii="Palatino Linotype" w:hAnsi="Palatino Linotype"/>
          <w:i/>
          <w:sz w:val="22"/>
        </w:rPr>
        <w:t>Estudio y dictamen de impacto ambiental</w:t>
      </w:r>
      <w:r w:rsidRPr="00197397">
        <w:rPr>
          <w:rFonts w:ascii="Palatino Linotype" w:hAnsi="Palatino Linotype"/>
          <w:i/>
          <w:color w:val="000000"/>
          <w:sz w:val="22"/>
          <w:szCs w:val="22"/>
        </w:rPr>
        <w:t>.</w:t>
      </w:r>
    </w:p>
    <w:p w:rsidR="00197397" w:rsidRPr="00197397" w:rsidRDefault="00197397" w:rsidP="005C1114">
      <w:pPr>
        <w:pStyle w:val="Prrafodelista"/>
        <w:numPr>
          <w:ilvl w:val="0"/>
          <w:numId w:val="4"/>
        </w:numPr>
        <w:ind w:left="851" w:right="902" w:firstLine="0"/>
        <w:contextualSpacing w:val="0"/>
        <w:jc w:val="both"/>
        <w:rPr>
          <w:rFonts w:ascii="Palatino Linotype" w:hAnsi="Palatino Linotype"/>
          <w:i/>
          <w:sz w:val="22"/>
        </w:rPr>
      </w:pPr>
      <w:r w:rsidRPr="00197397">
        <w:rPr>
          <w:rFonts w:ascii="Palatino Linotype" w:hAnsi="Palatino Linotype"/>
          <w:i/>
          <w:color w:val="000000"/>
          <w:sz w:val="22"/>
          <w:szCs w:val="22"/>
        </w:rPr>
        <w:lastRenderedPageBreak/>
        <w:t>Estudio y dictamen de impacto regional.</w:t>
      </w:r>
    </w:p>
    <w:p w:rsidR="00197397" w:rsidRPr="00197397" w:rsidRDefault="00197397" w:rsidP="005C1114">
      <w:pPr>
        <w:pStyle w:val="Prrafodelista"/>
        <w:numPr>
          <w:ilvl w:val="0"/>
          <w:numId w:val="4"/>
        </w:numPr>
        <w:ind w:left="851" w:right="902" w:firstLine="0"/>
        <w:contextualSpacing w:val="0"/>
        <w:jc w:val="both"/>
        <w:rPr>
          <w:rFonts w:ascii="Palatino Linotype" w:hAnsi="Palatino Linotype"/>
          <w:i/>
          <w:sz w:val="22"/>
        </w:rPr>
      </w:pPr>
      <w:r w:rsidRPr="00197397">
        <w:rPr>
          <w:rFonts w:ascii="Palatino Linotype" w:hAnsi="Palatino Linotype"/>
          <w:i/>
          <w:color w:val="000000"/>
          <w:sz w:val="22"/>
          <w:szCs w:val="22"/>
        </w:rPr>
        <w:t>Estudio y dictamen de impacto vial.</w:t>
      </w:r>
    </w:p>
    <w:p w:rsidR="00197397" w:rsidRPr="00197397" w:rsidRDefault="00197397" w:rsidP="005C1114">
      <w:pPr>
        <w:pStyle w:val="Prrafodelista"/>
        <w:numPr>
          <w:ilvl w:val="0"/>
          <w:numId w:val="4"/>
        </w:numPr>
        <w:ind w:left="851" w:right="902" w:firstLine="0"/>
        <w:contextualSpacing w:val="0"/>
        <w:jc w:val="both"/>
        <w:rPr>
          <w:rFonts w:ascii="Palatino Linotype" w:hAnsi="Palatino Linotype"/>
          <w:i/>
          <w:sz w:val="22"/>
        </w:rPr>
      </w:pPr>
      <w:r w:rsidRPr="00197397">
        <w:rPr>
          <w:rFonts w:ascii="Palatino Linotype" w:hAnsi="Palatino Linotype"/>
          <w:i/>
          <w:color w:val="000000"/>
          <w:sz w:val="22"/>
          <w:szCs w:val="22"/>
        </w:rPr>
        <w:t>Estudio y dictamen de Protección Civil.</w:t>
      </w:r>
    </w:p>
    <w:p w:rsidR="00197397" w:rsidRPr="00197397" w:rsidRDefault="00197397" w:rsidP="005C1114">
      <w:pPr>
        <w:pStyle w:val="Prrafodelista"/>
        <w:numPr>
          <w:ilvl w:val="0"/>
          <w:numId w:val="4"/>
        </w:numPr>
        <w:ind w:left="851" w:right="902" w:firstLine="0"/>
        <w:contextualSpacing w:val="0"/>
        <w:jc w:val="both"/>
        <w:rPr>
          <w:rFonts w:ascii="Palatino Linotype" w:hAnsi="Palatino Linotype"/>
          <w:i/>
          <w:sz w:val="22"/>
        </w:rPr>
      </w:pPr>
      <w:r w:rsidRPr="00197397">
        <w:rPr>
          <w:rFonts w:ascii="Palatino Linotype" w:hAnsi="Palatino Linotype"/>
          <w:i/>
          <w:color w:val="000000"/>
          <w:sz w:val="22"/>
          <w:szCs w:val="22"/>
        </w:rPr>
        <w:t>Licencia de Funcionamiento.</w:t>
      </w:r>
    </w:p>
    <w:p w:rsidR="00197397" w:rsidRPr="002D283C" w:rsidRDefault="00197397" w:rsidP="005C1114">
      <w:pPr>
        <w:pStyle w:val="Prrafodelista"/>
        <w:numPr>
          <w:ilvl w:val="0"/>
          <w:numId w:val="4"/>
        </w:numPr>
        <w:ind w:left="851" w:right="902" w:firstLine="0"/>
        <w:contextualSpacing w:val="0"/>
        <w:jc w:val="both"/>
        <w:rPr>
          <w:rFonts w:ascii="Palatino Linotype" w:hAnsi="Palatino Linotype"/>
        </w:rPr>
      </w:pPr>
      <w:r w:rsidRPr="00197397">
        <w:rPr>
          <w:rFonts w:ascii="Palatino Linotype" w:hAnsi="Palatino Linotype"/>
          <w:i/>
          <w:color w:val="000000"/>
          <w:sz w:val="22"/>
          <w:szCs w:val="22"/>
        </w:rPr>
        <w:t>Dictamen Único de Factibilidad</w:t>
      </w:r>
      <w:r>
        <w:rPr>
          <w:rFonts w:ascii="Palatino Linotype" w:hAnsi="Palatino Linotype"/>
          <w:color w:val="000000"/>
          <w:szCs w:val="22"/>
        </w:rPr>
        <w:t>.</w:t>
      </w:r>
    </w:p>
    <w:p w:rsidR="00197397" w:rsidRDefault="00757442" w:rsidP="005C1114">
      <w:pPr>
        <w:pStyle w:val="Textoindependiente"/>
        <w:spacing w:before="100" w:beforeAutospacing="1" w:after="100" w:afterAutospacing="1" w:line="360" w:lineRule="auto"/>
        <w:jc w:val="both"/>
        <w:rPr>
          <w:rFonts w:ascii="Palatino Linotype" w:hAnsi="Palatino Linotype"/>
        </w:rPr>
      </w:pPr>
      <w:r w:rsidRPr="00E91339">
        <w:rPr>
          <w:rFonts w:ascii="Palatino Linotype" w:hAnsi="Palatino Linotype"/>
        </w:rPr>
        <w:t xml:space="preserve">De las constancias que obran dentro del expediente electrónico del Sistema de Acceso a la Información Mexiquense, en lo subsecuente el </w:t>
      </w:r>
      <w:r w:rsidRPr="00E91339">
        <w:rPr>
          <w:rFonts w:ascii="Palatino Linotype" w:hAnsi="Palatino Linotype"/>
          <w:b/>
        </w:rPr>
        <w:t>SAIMEX,</w:t>
      </w:r>
      <w:r w:rsidRPr="00E91339">
        <w:rPr>
          <w:rFonts w:ascii="Palatino Linotype" w:hAnsi="Palatino Linotype"/>
        </w:rPr>
        <w:t xml:space="preserve"> se advierte que </w:t>
      </w:r>
      <w:r w:rsidRPr="00E91339">
        <w:rPr>
          <w:rFonts w:ascii="Palatino Linotype" w:hAnsi="Palatino Linotype"/>
          <w:b/>
        </w:rPr>
        <w:t xml:space="preserve">EL SUJETO OBLIGADO </w:t>
      </w:r>
      <w:r w:rsidR="00197397">
        <w:rPr>
          <w:rFonts w:ascii="Palatino Linotype" w:hAnsi="Palatino Linotype"/>
        </w:rPr>
        <w:t>adjuntó la respuesta al</w:t>
      </w:r>
      <w:r w:rsidRPr="00E91339">
        <w:rPr>
          <w:rFonts w:ascii="Palatino Linotype" w:hAnsi="Palatino Linotype"/>
        </w:rPr>
        <w:t xml:space="preserve"> </w:t>
      </w:r>
      <w:r w:rsidRPr="00E91339">
        <w:rPr>
          <w:rFonts w:ascii="Palatino Linotype" w:hAnsi="Palatino Linotype"/>
          <w:b/>
        </w:rPr>
        <w:t>RECURRENTE</w:t>
      </w:r>
      <w:r w:rsidRPr="00E91339">
        <w:rPr>
          <w:rFonts w:ascii="Palatino Linotype" w:hAnsi="Palatino Linotype"/>
        </w:rPr>
        <w:t xml:space="preserve"> </w:t>
      </w:r>
      <w:r w:rsidR="00197397">
        <w:rPr>
          <w:rFonts w:ascii="Palatino Linotype" w:hAnsi="Palatino Linotype"/>
        </w:rPr>
        <w:t xml:space="preserve">en la que manifestó a través de la Directora General de Operación Urbana, que derivado de la búsqueda en los archivos de la Subdirección de Dictámenes Urbanos, dependiente de ella, no se localizó registro alguno del predio mencionado por el particular. </w:t>
      </w:r>
    </w:p>
    <w:p w:rsidR="00D07727" w:rsidRDefault="00D07727" w:rsidP="005C1114">
      <w:pPr>
        <w:spacing w:before="100" w:beforeAutospacing="1" w:after="100" w:afterAutospacing="1" w:line="360" w:lineRule="auto"/>
        <w:jc w:val="both"/>
        <w:rPr>
          <w:rFonts w:ascii="Palatino Linotype" w:hAnsi="Palatino Linotype" w:cs="Arial"/>
        </w:rPr>
      </w:pPr>
      <w:r w:rsidRPr="00E91339">
        <w:rPr>
          <w:rFonts w:ascii="Palatino Linotype" w:hAnsi="Palatino Linotype" w:cs="Arial"/>
        </w:rPr>
        <w:t xml:space="preserve">En ese tenor, </w:t>
      </w:r>
      <w:r w:rsidR="00197397">
        <w:rPr>
          <w:rFonts w:ascii="Palatino Linotype" w:hAnsi="Palatino Linotype" w:cs="Arial"/>
          <w:b/>
        </w:rPr>
        <w:t>EL</w:t>
      </w:r>
      <w:r w:rsidRPr="00E91339">
        <w:rPr>
          <w:rFonts w:ascii="Palatino Linotype" w:hAnsi="Palatino Linotype" w:cs="Arial"/>
          <w:b/>
        </w:rPr>
        <w:t xml:space="preserve"> RECURRENTE</w:t>
      </w:r>
      <w:r w:rsidRPr="00E91339">
        <w:rPr>
          <w:rFonts w:ascii="Palatino Linotype" w:hAnsi="Palatino Linotype" w:cs="Arial"/>
        </w:rPr>
        <w:t xml:space="preserve"> inconforme con la respuesta otorgada por </w:t>
      </w:r>
      <w:r w:rsidRPr="00E91339">
        <w:rPr>
          <w:rFonts w:ascii="Palatino Linotype" w:hAnsi="Palatino Linotype" w:cs="Arial"/>
          <w:b/>
        </w:rPr>
        <w:t>EL SUJETO OBLIGADO,</w:t>
      </w:r>
      <w:r w:rsidRPr="00E91339">
        <w:rPr>
          <w:rFonts w:ascii="Palatino Linotype" w:hAnsi="Palatino Linotype" w:cs="Arial"/>
        </w:rPr>
        <w:t xml:space="preserve"> interpuso el recurso de revisión de mérito.</w:t>
      </w:r>
    </w:p>
    <w:p w:rsidR="00D07727" w:rsidRDefault="00622355" w:rsidP="005C1114">
      <w:pPr>
        <w:spacing w:before="100" w:beforeAutospacing="1" w:after="100" w:afterAutospacing="1" w:line="360" w:lineRule="auto"/>
        <w:jc w:val="both"/>
        <w:rPr>
          <w:rFonts w:ascii="Palatino Linotype" w:hAnsi="Palatino Linotype" w:cs="Arial"/>
          <w:b/>
        </w:rPr>
      </w:pPr>
      <w:r>
        <w:rPr>
          <w:rFonts w:ascii="Palatino Linotype" w:hAnsi="Palatino Linotype" w:cs="Arial"/>
        </w:rPr>
        <w:t>Así, del estudio del expediente electrónico</w:t>
      </w:r>
      <w:r w:rsidR="00D07727" w:rsidRPr="00E91339">
        <w:rPr>
          <w:rFonts w:ascii="Palatino Linotype" w:hAnsi="Palatino Linotype" w:cs="Arial"/>
        </w:rPr>
        <w:t xml:space="preserve">, la Ponencia </w:t>
      </w:r>
      <w:proofErr w:type="spellStart"/>
      <w:r w:rsidR="00F37582" w:rsidRPr="00E91339">
        <w:rPr>
          <w:rFonts w:ascii="Palatino Linotype" w:hAnsi="Palatino Linotype" w:cs="Arial"/>
        </w:rPr>
        <w:t>Resolutora</w:t>
      </w:r>
      <w:proofErr w:type="spellEnd"/>
      <w:r w:rsidR="00D07727" w:rsidRPr="00E91339">
        <w:rPr>
          <w:rFonts w:ascii="Palatino Linotype" w:hAnsi="Palatino Linotype" w:cs="Arial"/>
        </w:rPr>
        <w:t xml:space="preserve"> </w:t>
      </w:r>
      <w:r w:rsidR="00F37582" w:rsidRPr="00E91339">
        <w:rPr>
          <w:rFonts w:ascii="Palatino Linotype" w:hAnsi="Palatino Linotype" w:cs="Arial"/>
        </w:rPr>
        <w:t>consideró como infundados los</w:t>
      </w:r>
      <w:r w:rsidR="00D07727" w:rsidRPr="00E91339">
        <w:rPr>
          <w:rFonts w:ascii="Palatino Linotype" w:hAnsi="Palatino Linotype" w:cs="Arial"/>
        </w:rPr>
        <w:t xml:space="preserve"> motivos de inconformidad </w:t>
      </w:r>
      <w:r w:rsidR="00F37582" w:rsidRPr="00E91339">
        <w:rPr>
          <w:rFonts w:ascii="Palatino Linotype" w:hAnsi="Palatino Linotype" w:cs="Arial"/>
        </w:rPr>
        <w:t xml:space="preserve">hechos valer por </w:t>
      </w:r>
      <w:r>
        <w:rPr>
          <w:rFonts w:ascii="Palatino Linotype" w:hAnsi="Palatino Linotype" w:cs="Arial"/>
          <w:b/>
        </w:rPr>
        <w:t>EL</w:t>
      </w:r>
      <w:r w:rsidR="00F37582" w:rsidRPr="00E91339">
        <w:rPr>
          <w:rFonts w:ascii="Palatino Linotype" w:hAnsi="Palatino Linotype" w:cs="Arial"/>
          <w:b/>
        </w:rPr>
        <w:t xml:space="preserve"> RECURRENTE </w:t>
      </w:r>
      <w:r w:rsidR="00D07727" w:rsidRPr="00E91339">
        <w:rPr>
          <w:rFonts w:ascii="Palatino Linotype" w:hAnsi="Palatino Linotype" w:cs="Arial"/>
        </w:rPr>
        <w:t xml:space="preserve">y determinó </w:t>
      </w:r>
      <w:r w:rsidR="00D07727" w:rsidRPr="00E91339">
        <w:rPr>
          <w:rFonts w:ascii="Palatino Linotype" w:hAnsi="Palatino Linotype" w:cs="Arial"/>
          <w:b/>
        </w:rPr>
        <w:t>CONFIRMAR</w:t>
      </w:r>
      <w:r w:rsidR="00D07727" w:rsidRPr="00E91339">
        <w:rPr>
          <w:rFonts w:ascii="Palatino Linotype" w:hAnsi="Palatino Linotype" w:cs="Arial"/>
        </w:rPr>
        <w:t xml:space="preserve"> la respuesta del </w:t>
      </w:r>
      <w:r w:rsidR="00D07727" w:rsidRPr="00E91339">
        <w:rPr>
          <w:rFonts w:ascii="Palatino Linotype" w:hAnsi="Palatino Linotype" w:cs="Arial"/>
          <w:b/>
        </w:rPr>
        <w:t>SUJETO OBLIGADO.</w:t>
      </w:r>
    </w:p>
    <w:p w:rsidR="00D07727" w:rsidRDefault="00D07727" w:rsidP="005C1114">
      <w:pPr>
        <w:spacing w:before="100" w:beforeAutospacing="1" w:after="100" w:afterAutospacing="1" w:line="360" w:lineRule="auto"/>
        <w:jc w:val="both"/>
        <w:rPr>
          <w:rFonts w:ascii="Palatino Linotype" w:hAnsi="Palatino Linotype"/>
        </w:rPr>
      </w:pPr>
      <w:r w:rsidRPr="00E91339">
        <w:rPr>
          <w:rFonts w:ascii="Palatino Linotype" w:hAnsi="Palatino Linotype" w:cs="Arial"/>
        </w:rPr>
        <w:t xml:space="preserve">En ese sentido, </w:t>
      </w:r>
      <w:r w:rsidRPr="00E91339">
        <w:rPr>
          <w:rFonts w:ascii="Palatino Linotype" w:hAnsi="Palatino Linotype"/>
        </w:rPr>
        <w:t>la</w:t>
      </w:r>
      <w:r w:rsidR="00C1015F" w:rsidRPr="00E91339">
        <w:rPr>
          <w:rFonts w:ascii="Palatino Linotype" w:hAnsi="Palatino Linotype"/>
        </w:rPr>
        <w:t xml:space="preserve"> suscrita,</w:t>
      </w:r>
      <w:r w:rsidRPr="00E91339">
        <w:rPr>
          <w:rFonts w:ascii="Palatino Linotype" w:hAnsi="Palatino Linotype"/>
        </w:rPr>
        <w:t xml:space="preserve"> si bien coincide en términos generales con</w:t>
      </w:r>
      <w:r w:rsidR="006C0315" w:rsidRPr="00E91339">
        <w:rPr>
          <w:rFonts w:ascii="Palatino Linotype" w:hAnsi="Palatino Linotype"/>
        </w:rPr>
        <w:t xml:space="preserve"> las razones que dieron origen al recurso de revisión de mérito,</w:t>
      </w:r>
      <w:r w:rsidRPr="00E91339">
        <w:rPr>
          <w:rFonts w:ascii="Palatino Linotype" w:hAnsi="Palatino Linotype"/>
        </w:rPr>
        <w:t xml:space="preserve"> difiero respecto al sentido de la misma</w:t>
      </w:r>
      <w:r w:rsidR="007D7A9C" w:rsidRPr="00E91339">
        <w:rPr>
          <w:rFonts w:ascii="Palatino Linotype" w:hAnsi="Palatino Linotype"/>
          <w:b/>
        </w:rPr>
        <w:t>;</w:t>
      </w:r>
      <w:r w:rsidRPr="00E91339">
        <w:rPr>
          <w:rFonts w:ascii="Palatino Linotype" w:hAnsi="Palatino Linotype"/>
          <w:b/>
        </w:rPr>
        <w:t xml:space="preserve"> </w:t>
      </w:r>
      <w:r w:rsidR="007D7A9C" w:rsidRPr="00E91339">
        <w:rPr>
          <w:rFonts w:ascii="Palatino Linotype" w:hAnsi="Palatino Linotype"/>
        </w:rPr>
        <w:t>l</w:t>
      </w:r>
      <w:r w:rsidRPr="00E91339">
        <w:rPr>
          <w:rFonts w:ascii="Palatino Linotype" w:hAnsi="Palatino Linotype"/>
        </w:rPr>
        <w:t>o anterior es así, de acuerdo con lo siguiente.</w:t>
      </w:r>
    </w:p>
    <w:p w:rsidR="00D07727" w:rsidRPr="00E91339" w:rsidRDefault="00867D77" w:rsidP="005C1114">
      <w:pPr>
        <w:spacing w:before="100" w:beforeAutospacing="1" w:after="100" w:afterAutospacing="1" w:line="360" w:lineRule="auto"/>
        <w:jc w:val="both"/>
        <w:rPr>
          <w:rFonts w:ascii="Palatino Linotype" w:hAnsi="Palatino Linotype"/>
        </w:rPr>
      </w:pPr>
      <w:r w:rsidRPr="00E91339">
        <w:rPr>
          <w:rFonts w:ascii="Palatino Linotype" w:hAnsi="Palatino Linotype"/>
        </w:rPr>
        <w:lastRenderedPageBreak/>
        <w:t xml:space="preserve">Es </w:t>
      </w:r>
      <w:r w:rsidR="00D07727" w:rsidRPr="00E91339">
        <w:rPr>
          <w:rFonts w:ascii="Palatino Linotype" w:hAnsi="Palatino Linotype"/>
        </w:rPr>
        <w:t xml:space="preserve">necesario precisar que de conformidad con el artículo 186 de la </w:t>
      </w:r>
      <w:r w:rsidR="00D07727" w:rsidRPr="00E91339">
        <w:rPr>
          <w:rFonts w:ascii="Palatino Linotype" w:hAnsi="Palatino Linotype" w:cs="Arial"/>
        </w:rPr>
        <w:t>Ley de Transparencia y Acceso a la Información Pública del Estado de México y Municipios,</w:t>
      </w:r>
      <w:r w:rsidR="00D07727" w:rsidRPr="00E91339">
        <w:rPr>
          <w:rFonts w:ascii="Palatino Linotype" w:hAnsi="Palatino Linotype"/>
        </w:rPr>
        <w:t xml:space="preserve"> las Resoluciones emitidas por este Órgano Garante podrán:</w:t>
      </w:r>
    </w:p>
    <w:p w:rsidR="00D07727" w:rsidRPr="005C1114" w:rsidRDefault="00D07727" w:rsidP="005C1114">
      <w:pPr>
        <w:pStyle w:val="Prrafodelista"/>
        <w:numPr>
          <w:ilvl w:val="0"/>
          <w:numId w:val="1"/>
        </w:numPr>
        <w:ind w:left="851" w:right="899" w:firstLine="0"/>
        <w:jc w:val="both"/>
        <w:rPr>
          <w:rFonts w:ascii="Palatino Linotype" w:hAnsi="Palatino Linotype"/>
          <w:b/>
          <w:i/>
          <w:sz w:val="22"/>
        </w:rPr>
      </w:pPr>
      <w:r w:rsidRPr="005C1114">
        <w:rPr>
          <w:rFonts w:ascii="Palatino Linotype" w:hAnsi="Palatino Linotype"/>
          <w:b/>
          <w:i/>
          <w:sz w:val="22"/>
        </w:rPr>
        <w:t xml:space="preserve">Desechar o sobreseer el recurso; </w:t>
      </w:r>
    </w:p>
    <w:p w:rsidR="00D07727" w:rsidRPr="005C1114" w:rsidRDefault="00D07727" w:rsidP="005C1114">
      <w:pPr>
        <w:pStyle w:val="Prrafodelista"/>
        <w:numPr>
          <w:ilvl w:val="0"/>
          <w:numId w:val="1"/>
        </w:numPr>
        <w:ind w:left="851" w:right="899" w:firstLine="0"/>
        <w:jc w:val="both"/>
        <w:rPr>
          <w:rFonts w:ascii="Palatino Linotype" w:hAnsi="Palatino Linotype"/>
          <w:b/>
          <w:i/>
          <w:sz w:val="22"/>
        </w:rPr>
      </w:pPr>
      <w:r w:rsidRPr="005C1114">
        <w:rPr>
          <w:rFonts w:ascii="Palatino Linotype" w:hAnsi="Palatino Linotype"/>
          <w:b/>
          <w:i/>
          <w:sz w:val="22"/>
        </w:rPr>
        <w:t xml:space="preserve">Confirmar la respuesta del sujeto obligado; </w:t>
      </w:r>
    </w:p>
    <w:p w:rsidR="00D07727" w:rsidRPr="005C1114" w:rsidRDefault="00D07727" w:rsidP="005C1114">
      <w:pPr>
        <w:pStyle w:val="Prrafodelista"/>
        <w:numPr>
          <w:ilvl w:val="0"/>
          <w:numId w:val="1"/>
        </w:numPr>
        <w:ind w:left="851" w:right="899" w:firstLine="0"/>
        <w:jc w:val="both"/>
        <w:rPr>
          <w:rFonts w:ascii="Palatino Linotype" w:hAnsi="Palatino Linotype"/>
          <w:i/>
          <w:sz w:val="22"/>
        </w:rPr>
      </w:pPr>
      <w:r w:rsidRPr="005C1114">
        <w:rPr>
          <w:rFonts w:ascii="Palatino Linotype" w:hAnsi="Palatino Linotype"/>
          <w:i/>
          <w:sz w:val="22"/>
        </w:rPr>
        <w:t xml:space="preserve">Revocar o modificar la respuesta del sujeto obligado; y </w:t>
      </w:r>
    </w:p>
    <w:p w:rsidR="00D07727" w:rsidRDefault="00D07727" w:rsidP="005C1114">
      <w:pPr>
        <w:pStyle w:val="Prrafodelista"/>
        <w:numPr>
          <w:ilvl w:val="0"/>
          <w:numId w:val="1"/>
        </w:numPr>
        <w:ind w:left="851" w:right="899" w:firstLine="0"/>
        <w:jc w:val="both"/>
        <w:rPr>
          <w:rFonts w:ascii="Palatino Linotype" w:hAnsi="Palatino Linotype"/>
        </w:rPr>
      </w:pPr>
      <w:r w:rsidRPr="005C1114">
        <w:rPr>
          <w:rFonts w:ascii="Palatino Linotype" w:hAnsi="Palatino Linotype"/>
          <w:i/>
          <w:sz w:val="22"/>
        </w:rPr>
        <w:t>Ordenar la entrega de la información</w:t>
      </w:r>
      <w:r w:rsidRPr="00E91339">
        <w:rPr>
          <w:rFonts w:ascii="Palatino Linotype" w:hAnsi="Palatino Linotype"/>
        </w:rPr>
        <w:t>.</w:t>
      </w:r>
    </w:p>
    <w:p w:rsidR="00D07727" w:rsidRDefault="00D07727" w:rsidP="005C1114">
      <w:pPr>
        <w:spacing w:before="100" w:beforeAutospacing="1" w:after="100" w:afterAutospacing="1" w:line="360" w:lineRule="auto"/>
        <w:jc w:val="both"/>
        <w:rPr>
          <w:rFonts w:ascii="Palatino Linotype" w:hAnsi="Palatino Linotype"/>
        </w:rPr>
      </w:pPr>
      <w:r w:rsidRPr="00E91339">
        <w:rPr>
          <w:rFonts w:ascii="Palatino Linotype" w:hAnsi="Palatino Linotype"/>
        </w:rPr>
        <w:t xml:space="preserve">En el caso particular de la fracciones I y II, y en relación a dichos sentidos se procede a </w:t>
      </w:r>
      <w:r w:rsidR="00A96AE2" w:rsidRPr="00E91339">
        <w:rPr>
          <w:rFonts w:ascii="Palatino Linotype" w:hAnsi="Palatino Linotype"/>
          <w:b/>
        </w:rPr>
        <w:t>CONFIRMAR</w:t>
      </w:r>
      <w:r w:rsidRPr="00E91339">
        <w:rPr>
          <w:rFonts w:ascii="Palatino Linotype" w:hAnsi="Palatino Linotype"/>
        </w:rPr>
        <w:t xml:space="preserve"> la respuesta de los Sujetos Obligados cuando se </w:t>
      </w:r>
      <w:r w:rsidRPr="00E91339">
        <w:rPr>
          <w:rFonts w:ascii="Palatino Linotype" w:hAnsi="Palatino Linotype"/>
          <w:b/>
        </w:rPr>
        <w:t>tiene por colmado</w:t>
      </w:r>
      <w:r w:rsidRPr="00E91339">
        <w:rPr>
          <w:rFonts w:ascii="Palatino Linotype" w:hAnsi="Palatino Linotype"/>
        </w:rPr>
        <w:t xml:space="preserve"> el derecho de acceso a la Información de los particulares, mientras que se </w:t>
      </w:r>
      <w:r w:rsidRPr="00E91339">
        <w:rPr>
          <w:rFonts w:ascii="Palatino Linotype" w:hAnsi="Palatino Linotype"/>
          <w:b/>
        </w:rPr>
        <w:t>SOBRESEE</w:t>
      </w:r>
      <w:r w:rsidRPr="00E91339">
        <w:rPr>
          <w:rFonts w:ascii="Palatino Linotype" w:hAnsi="Palatino Linotype"/>
        </w:rPr>
        <w:t xml:space="preserve"> el recurso de revisión cuando una vez admitido se actualice alguno de los supuestos previstos en el numeral 192 de la Ley de la materia.</w:t>
      </w:r>
    </w:p>
    <w:p w:rsidR="00EA2449" w:rsidRDefault="000C3CB9" w:rsidP="005C1114">
      <w:pPr>
        <w:spacing w:before="100" w:beforeAutospacing="1" w:after="100" w:afterAutospacing="1" w:line="360" w:lineRule="auto"/>
        <w:jc w:val="both"/>
        <w:rPr>
          <w:rFonts w:ascii="Palatino Linotype" w:hAnsi="Palatino Linotype"/>
        </w:rPr>
      </w:pPr>
      <w:r w:rsidRPr="00E91339">
        <w:rPr>
          <w:rFonts w:ascii="Palatino Linotype" w:hAnsi="Palatino Linotype"/>
        </w:rPr>
        <w:t xml:space="preserve">Así, en el presente, si bien el estudio realizado por la Ponencia </w:t>
      </w:r>
      <w:proofErr w:type="spellStart"/>
      <w:r w:rsidRPr="00E91339">
        <w:rPr>
          <w:rFonts w:ascii="Palatino Linotype" w:hAnsi="Palatino Linotype"/>
        </w:rPr>
        <w:t>Resolutora</w:t>
      </w:r>
      <w:proofErr w:type="spellEnd"/>
      <w:r w:rsidRPr="00E91339">
        <w:rPr>
          <w:rFonts w:ascii="Palatino Linotype" w:hAnsi="Palatino Linotype"/>
        </w:rPr>
        <w:t xml:space="preserve"> determinó </w:t>
      </w:r>
      <w:r w:rsidRPr="00E91339">
        <w:rPr>
          <w:rFonts w:ascii="Palatino Linotype" w:hAnsi="Palatino Linotype"/>
          <w:b/>
        </w:rPr>
        <w:t xml:space="preserve">CONFIRMAR </w:t>
      </w:r>
      <w:r w:rsidRPr="00E91339">
        <w:rPr>
          <w:rFonts w:ascii="Palatino Linotype" w:hAnsi="Palatino Linotype"/>
        </w:rPr>
        <w:t xml:space="preserve">la respuesta otorgada por </w:t>
      </w:r>
      <w:r w:rsidRPr="00E91339">
        <w:rPr>
          <w:rFonts w:ascii="Palatino Linotype" w:hAnsi="Palatino Linotype"/>
          <w:b/>
        </w:rPr>
        <w:t>EL SUJETO OBLIGADO</w:t>
      </w:r>
      <w:r w:rsidRPr="00E91339">
        <w:rPr>
          <w:rFonts w:ascii="Palatino Linotype" w:hAnsi="Palatino Linotype"/>
        </w:rPr>
        <w:t xml:space="preserve"> en razón de que la misma satisfizo la solicitud de acceso a la información de</w:t>
      </w:r>
      <w:r w:rsidR="00622355">
        <w:rPr>
          <w:rFonts w:ascii="Palatino Linotype" w:hAnsi="Palatino Linotype"/>
        </w:rPr>
        <w:t>l</w:t>
      </w:r>
      <w:r w:rsidRPr="00E91339">
        <w:rPr>
          <w:rFonts w:ascii="Palatino Linotype" w:hAnsi="Palatino Linotype"/>
        </w:rPr>
        <w:t xml:space="preserve"> </w:t>
      </w:r>
      <w:r w:rsidRPr="00E91339">
        <w:rPr>
          <w:rFonts w:ascii="Palatino Linotype" w:hAnsi="Palatino Linotype"/>
          <w:b/>
        </w:rPr>
        <w:t xml:space="preserve">RECURRENTE, </w:t>
      </w:r>
      <w:r w:rsidRPr="00E91339">
        <w:rPr>
          <w:rFonts w:ascii="Palatino Linotype" w:hAnsi="Palatino Linotype"/>
        </w:rPr>
        <w:t xml:space="preserve">también lo es que, a criterio de la suscrita, dicho sentido de la resolución implicaría afirmar que con las manifestaciones vertidas por parte del </w:t>
      </w:r>
      <w:r w:rsidRPr="00E91339">
        <w:rPr>
          <w:rFonts w:ascii="Palatino Linotype" w:hAnsi="Palatino Linotype"/>
          <w:b/>
        </w:rPr>
        <w:t xml:space="preserve">SUJETO OBLIGADO </w:t>
      </w:r>
      <w:r w:rsidRPr="00E91339">
        <w:rPr>
          <w:rFonts w:ascii="Palatino Linotype" w:hAnsi="Palatino Linotype"/>
        </w:rPr>
        <w:t>se tuvo por colmado el derecho</w:t>
      </w:r>
      <w:r w:rsidR="00EA2449">
        <w:rPr>
          <w:rFonts w:ascii="Palatino Linotype" w:hAnsi="Palatino Linotype"/>
        </w:rPr>
        <w:t xml:space="preserve"> de acceso a la información del</w:t>
      </w:r>
      <w:r w:rsidRPr="00E91339">
        <w:rPr>
          <w:rFonts w:ascii="Palatino Linotype" w:hAnsi="Palatino Linotype"/>
        </w:rPr>
        <w:t xml:space="preserve"> particular; sin embargo, </w:t>
      </w:r>
      <w:r w:rsidR="00EA2449">
        <w:rPr>
          <w:rFonts w:ascii="Palatino Linotype" w:hAnsi="Palatino Linotype"/>
        </w:rPr>
        <w:t xml:space="preserve">estimo que </w:t>
      </w:r>
      <w:r w:rsidR="0020645C">
        <w:rPr>
          <w:rFonts w:ascii="Palatino Linotype" w:hAnsi="Palatino Linotype"/>
        </w:rPr>
        <w:t>derivado del estudio que realiz</w:t>
      </w:r>
      <w:r w:rsidR="00F87C5C">
        <w:rPr>
          <w:rFonts w:ascii="Palatino Linotype" w:hAnsi="Palatino Linotype"/>
        </w:rPr>
        <w:t>ó</w:t>
      </w:r>
      <w:r w:rsidR="0020645C">
        <w:rPr>
          <w:rFonts w:ascii="Palatino Linotype" w:hAnsi="Palatino Linotype"/>
        </w:rPr>
        <w:t xml:space="preserve"> la Ponencia </w:t>
      </w:r>
      <w:proofErr w:type="spellStart"/>
      <w:r w:rsidR="0020645C">
        <w:rPr>
          <w:rFonts w:ascii="Palatino Linotype" w:hAnsi="Palatino Linotype"/>
        </w:rPr>
        <w:t>Resolutora</w:t>
      </w:r>
      <w:proofErr w:type="spellEnd"/>
      <w:r w:rsidR="0020645C">
        <w:rPr>
          <w:rFonts w:ascii="Palatino Linotype" w:hAnsi="Palatino Linotype"/>
        </w:rPr>
        <w:t xml:space="preserve"> en el que señala que el Sujeto Obligado no es el competente y por lo que en estudio orientó a los posible</w:t>
      </w:r>
      <w:r w:rsidR="00F87C5C">
        <w:rPr>
          <w:rFonts w:ascii="Palatino Linotype" w:hAnsi="Palatino Linotype"/>
        </w:rPr>
        <w:t>s</w:t>
      </w:r>
      <w:r w:rsidR="0020645C">
        <w:rPr>
          <w:rFonts w:ascii="Palatino Linotype" w:hAnsi="Palatino Linotype"/>
        </w:rPr>
        <w:t xml:space="preserve"> Sujetos Obligados</w:t>
      </w:r>
      <w:r w:rsidR="008526D4">
        <w:rPr>
          <w:rFonts w:ascii="Palatino Linotype" w:hAnsi="Palatino Linotype"/>
        </w:rPr>
        <w:t xml:space="preserve"> </w:t>
      </w:r>
      <w:r w:rsidR="0020645C">
        <w:rPr>
          <w:rFonts w:ascii="Palatino Linotype" w:hAnsi="Palatino Linotype"/>
        </w:rPr>
        <w:t xml:space="preserve">que pueden </w:t>
      </w:r>
      <w:r w:rsidR="008526D4">
        <w:rPr>
          <w:rFonts w:ascii="Palatino Linotype" w:hAnsi="Palatino Linotype"/>
        </w:rPr>
        <w:t xml:space="preserve">dentro de sus atribuciones y competencias </w:t>
      </w:r>
      <w:r w:rsidR="0020645C">
        <w:rPr>
          <w:rFonts w:ascii="Palatino Linotype" w:hAnsi="Palatino Linotype"/>
        </w:rPr>
        <w:t xml:space="preserve">generar o poseer la </w:t>
      </w:r>
      <w:r w:rsidR="0020645C">
        <w:rPr>
          <w:rFonts w:ascii="Palatino Linotype" w:hAnsi="Palatino Linotype"/>
        </w:rPr>
        <w:lastRenderedPageBreak/>
        <w:t>información solicitada por el particular; es decir, la Secretaría de Medio Ambiente</w:t>
      </w:r>
      <w:r w:rsidR="00867D77">
        <w:rPr>
          <w:rFonts w:ascii="Palatino Linotype" w:hAnsi="Palatino Linotype"/>
        </w:rPr>
        <w:t xml:space="preserve"> quien</w:t>
      </w:r>
      <w:r w:rsidR="0020645C">
        <w:rPr>
          <w:rFonts w:ascii="Palatino Linotype" w:hAnsi="Palatino Linotype"/>
        </w:rPr>
        <w:t xml:space="preserve"> es la competente de la emisión del Dictamen de Impacto Ambiental, a la Secretaría de Comunicaciones </w:t>
      </w:r>
      <w:r w:rsidR="00867D77">
        <w:rPr>
          <w:rFonts w:ascii="Palatino Linotype" w:hAnsi="Palatino Linotype"/>
        </w:rPr>
        <w:t xml:space="preserve">le corresponde </w:t>
      </w:r>
      <w:r w:rsidR="0020645C">
        <w:rPr>
          <w:rFonts w:ascii="Palatino Linotype" w:hAnsi="Palatino Linotype"/>
        </w:rPr>
        <w:t xml:space="preserve">emitir el Dictamen de </w:t>
      </w:r>
      <w:r w:rsidR="008526D4">
        <w:rPr>
          <w:rFonts w:ascii="Palatino Linotype" w:hAnsi="Palatino Linotype"/>
        </w:rPr>
        <w:t xml:space="preserve">Impacto Ambiental, </w:t>
      </w:r>
      <w:r w:rsidR="00867D77">
        <w:rPr>
          <w:rFonts w:ascii="Palatino Linotype" w:hAnsi="Palatino Linotype"/>
        </w:rPr>
        <w:t xml:space="preserve">respecto de la </w:t>
      </w:r>
      <w:r w:rsidR="008526D4">
        <w:rPr>
          <w:rFonts w:ascii="Palatino Linotype" w:hAnsi="Palatino Linotype"/>
        </w:rPr>
        <w:t xml:space="preserve">emisión del Dictamen de Protección </w:t>
      </w:r>
      <w:r w:rsidR="00F87C5C">
        <w:rPr>
          <w:rFonts w:ascii="Palatino Linotype" w:hAnsi="Palatino Linotype"/>
        </w:rPr>
        <w:t>C</w:t>
      </w:r>
      <w:r w:rsidR="008526D4">
        <w:rPr>
          <w:rFonts w:ascii="Palatino Linotype" w:hAnsi="Palatino Linotype"/>
        </w:rPr>
        <w:t>ivil le c</w:t>
      </w:r>
      <w:r w:rsidR="0020645C">
        <w:rPr>
          <w:rFonts w:ascii="Palatino Linotype" w:hAnsi="Palatino Linotype"/>
        </w:rPr>
        <w:t xml:space="preserve">ompete a la Secretaría General de Gobierno a través de la Coordinación General de Protección Civil </w:t>
      </w:r>
      <w:r w:rsidR="00F87C5C">
        <w:rPr>
          <w:rFonts w:ascii="Palatino Linotype" w:hAnsi="Palatino Linotype"/>
        </w:rPr>
        <w:t>y por ú</w:t>
      </w:r>
      <w:r w:rsidR="008526D4">
        <w:rPr>
          <w:rFonts w:ascii="Palatino Linotype" w:hAnsi="Palatino Linotype"/>
        </w:rPr>
        <w:t>ltimo corresponde a los Ayuntamientos otorgar licencias y permisos de funcionamientos; por lo que resulta</w:t>
      </w:r>
      <w:r w:rsidR="00867D77">
        <w:rPr>
          <w:rFonts w:ascii="Palatino Linotype" w:hAnsi="Palatino Linotype"/>
        </w:rPr>
        <w:t>ba</w:t>
      </w:r>
      <w:r w:rsidR="008526D4">
        <w:rPr>
          <w:rFonts w:ascii="Palatino Linotype" w:hAnsi="Palatino Linotype"/>
        </w:rPr>
        <w:t xml:space="preserve"> aplicable</w:t>
      </w:r>
      <w:r w:rsidR="00867D77">
        <w:rPr>
          <w:rFonts w:ascii="Palatino Linotype" w:hAnsi="Palatino Linotype"/>
        </w:rPr>
        <w:t xml:space="preserve"> precisar en el estudio y en resolutivos </w:t>
      </w:r>
      <w:r w:rsidR="00D20B95">
        <w:rPr>
          <w:rFonts w:ascii="Palatino Linotype" w:hAnsi="Palatino Linotype"/>
        </w:rPr>
        <w:t>una salvedad en la que se indicara que se deja</w:t>
      </w:r>
      <w:r w:rsidR="00867D77">
        <w:rPr>
          <w:rFonts w:ascii="Palatino Linotype" w:hAnsi="Palatino Linotype"/>
        </w:rPr>
        <w:t>ban</w:t>
      </w:r>
      <w:r w:rsidR="00D20B95">
        <w:rPr>
          <w:rFonts w:ascii="Palatino Linotype" w:hAnsi="Palatino Linotype"/>
        </w:rPr>
        <w:t xml:space="preserve"> a salvo </w:t>
      </w:r>
      <w:r w:rsidR="00867D77">
        <w:rPr>
          <w:rFonts w:ascii="Palatino Linotype" w:hAnsi="Palatino Linotype"/>
        </w:rPr>
        <w:t>los</w:t>
      </w:r>
      <w:r w:rsidR="00D20B95">
        <w:rPr>
          <w:rFonts w:ascii="Palatino Linotype" w:hAnsi="Palatino Linotype"/>
        </w:rPr>
        <w:t xml:space="preserve"> derechos </w:t>
      </w:r>
      <w:r w:rsidR="00867D77">
        <w:rPr>
          <w:rFonts w:ascii="Palatino Linotype" w:hAnsi="Palatino Linotype"/>
        </w:rPr>
        <w:t xml:space="preserve">del particular </w:t>
      </w:r>
      <w:r w:rsidR="00F87C5C">
        <w:rPr>
          <w:rFonts w:ascii="Palatino Linotype" w:hAnsi="Palatino Linotype"/>
        </w:rPr>
        <w:t>a efecto de que formulara</w:t>
      </w:r>
      <w:r w:rsidR="00D20B95">
        <w:rPr>
          <w:rFonts w:ascii="Palatino Linotype" w:hAnsi="Palatino Linotype"/>
        </w:rPr>
        <w:t xml:space="preserve"> nuevamente las solicitudes de información </w:t>
      </w:r>
      <w:r w:rsidR="00867D77">
        <w:rPr>
          <w:rFonts w:ascii="Palatino Linotype" w:hAnsi="Palatino Linotype"/>
        </w:rPr>
        <w:t xml:space="preserve">que considere </w:t>
      </w:r>
      <w:r w:rsidR="00D20B95">
        <w:rPr>
          <w:rFonts w:ascii="Palatino Linotype" w:hAnsi="Palatino Linotype"/>
        </w:rPr>
        <w:t xml:space="preserve">ante los sujetos obligados competentes. </w:t>
      </w:r>
    </w:p>
    <w:p w:rsidR="002F137E" w:rsidRDefault="002F137E" w:rsidP="005C1114">
      <w:pPr>
        <w:spacing w:before="100" w:beforeAutospacing="1" w:after="100" w:afterAutospacing="1" w:line="360" w:lineRule="auto"/>
        <w:jc w:val="both"/>
        <w:rPr>
          <w:rFonts w:ascii="Palatino Linotype" w:hAnsi="Palatino Linotype"/>
        </w:rPr>
      </w:pPr>
      <w:r>
        <w:rPr>
          <w:rFonts w:ascii="Palatino Linotype" w:hAnsi="Palatino Linotype"/>
        </w:rPr>
        <w:t xml:space="preserve">En ese sentido y derivado de que la Ponencia </w:t>
      </w:r>
      <w:proofErr w:type="spellStart"/>
      <w:r>
        <w:rPr>
          <w:rFonts w:ascii="Palatino Linotype" w:hAnsi="Palatino Linotype"/>
        </w:rPr>
        <w:t>Resolutora</w:t>
      </w:r>
      <w:proofErr w:type="spellEnd"/>
      <w:r>
        <w:rPr>
          <w:rFonts w:ascii="Palatino Linotype" w:hAnsi="Palatino Linotype"/>
        </w:rPr>
        <w:t xml:space="preserve"> analizó en su estudio </w:t>
      </w:r>
      <w:r w:rsidR="005C1114">
        <w:rPr>
          <w:rFonts w:ascii="Palatino Linotype" w:hAnsi="Palatino Linotype"/>
        </w:rPr>
        <w:t xml:space="preserve">los posibles Sujetos Obligados competentes es que se actualiza la fracción V del artículo 192 de la Ley de Transparencia y Acceso a la Información Pública del Estado de México y Municipios, precepto que se trascribe a continuación: </w:t>
      </w:r>
    </w:p>
    <w:p w:rsidR="005C1114" w:rsidRPr="002F137E" w:rsidRDefault="005C1114" w:rsidP="005C1114">
      <w:pPr>
        <w:ind w:left="851" w:right="902"/>
        <w:jc w:val="both"/>
        <w:rPr>
          <w:rFonts w:ascii="Palatino Linotype" w:hAnsi="Palatino Linotype"/>
          <w:i/>
          <w:sz w:val="22"/>
          <w:szCs w:val="22"/>
        </w:rPr>
      </w:pPr>
      <w:r>
        <w:rPr>
          <w:rFonts w:ascii="Palatino Linotype" w:hAnsi="Palatino Linotype"/>
          <w:sz w:val="22"/>
          <w:szCs w:val="22"/>
        </w:rPr>
        <w:t>“</w:t>
      </w:r>
      <w:r w:rsidRPr="002F137E">
        <w:rPr>
          <w:rFonts w:ascii="Palatino Linotype" w:hAnsi="Palatino Linotype"/>
          <w:b/>
          <w:i/>
          <w:sz w:val="22"/>
          <w:szCs w:val="22"/>
        </w:rPr>
        <w:t>Artículo 192. El recurso será sobreseído, en todo o en parte, cuando una vez admitido, se actualicen alguno de los siguientes supuestos</w:t>
      </w:r>
      <w:r w:rsidRPr="002F137E">
        <w:rPr>
          <w:rFonts w:ascii="Palatino Linotype" w:hAnsi="Palatino Linotype"/>
          <w:i/>
          <w:sz w:val="22"/>
          <w:szCs w:val="22"/>
        </w:rPr>
        <w:t>:</w:t>
      </w:r>
    </w:p>
    <w:p w:rsidR="005C1114" w:rsidRPr="002F137E" w:rsidRDefault="005C1114" w:rsidP="005C1114">
      <w:pPr>
        <w:ind w:left="851" w:right="902"/>
        <w:jc w:val="both"/>
        <w:rPr>
          <w:rFonts w:ascii="Palatino Linotype" w:hAnsi="Palatino Linotype"/>
          <w:i/>
          <w:sz w:val="22"/>
          <w:szCs w:val="22"/>
        </w:rPr>
      </w:pPr>
      <w:r w:rsidRPr="002F137E">
        <w:rPr>
          <w:rFonts w:ascii="Palatino Linotype" w:hAnsi="Palatino Linotype"/>
          <w:i/>
          <w:sz w:val="22"/>
          <w:szCs w:val="22"/>
        </w:rPr>
        <w:t>I. El recurrente se desista expresamente del recurso;</w:t>
      </w:r>
    </w:p>
    <w:p w:rsidR="005C1114" w:rsidRPr="002F137E" w:rsidRDefault="005C1114" w:rsidP="005C1114">
      <w:pPr>
        <w:ind w:left="851" w:right="902"/>
        <w:jc w:val="both"/>
        <w:rPr>
          <w:rFonts w:ascii="Palatino Linotype" w:hAnsi="Palatino Linotype"/>
          <w:i/>
          <w:sz w:val="22"/>
          <w:szCs w:val="22"/>
        </w:rPr>
      </w:pPr>
      <w:r w:rsidRPr="002F137E">
        <w:rPr>
          <w:rFonts w:ascii="Palatino Linotype" w:hAnsi="Palatino Linotype"/>
          <w:i/>
          <w:sz w:val="22"/>
          <w:szCs w:val="22"/>
        </w:rPr>
        <w:t>II. El recurrente fallezca o, tratándose de personas jurídicas colectivas, se disuelva;</w:t>
      </w:r>
    </w:p>
    <w:p w:rsidR="005C1114" w:rsidRPr="002F137E" w:rsidRDefault="005C1114" w:rsidP="005C1114">
      <w:pPr>
        <w:ind w:left="851" w:right="902"/>
        <w:jc w:val="both"/>
        <w:rPr>
          <w:rFonts w:ascii="Palatino Linotype" w:hAnsi="Palatino Linotype"/>
          <w:i/>
          <w:sz w:val="22"/>
          <w:szCs w:val="22"/>
        </w:rPr>
      </w:pPr>
      <w:r w:rsidRPr="002F137E">
        <w:rPr>
          <w:rFonts w:ascii="Palatino Linotype" w:hAnsi="Palatino Linotype"/>
          <w:i/>
          <w:sz w:val="22"/>
          <w:szCs w:val="22"/>
        </w:rPr>
        <w:t>III. El sujeto obligado responsable del acto lo modifique o revoque de tal manera que el recurso de revisión quede sin materia;</w:t>
      </w:r>
    </w:p>
    <w:p w:rsidR="005C1114" w:rsidRPr="002F137E" w:rsidRDefault="005C1114" w:rsidP="005C1114">
      <w:pPr>
        <w:ind w:left="851" w:right="902"/>
        <w:jc w:val="both"/>
        <w:rPr>
          <w:rFonts w:ascii="Palatino Linotype" w:hAnsi="Palatino Linotype"/>
          <w:i/>
          <w:sz w:val="22"/>
          <w:szCs w:val="22"/>
        </w:rPr>
      </w:pPr>
      <w:r w:rsidRPr="002F137E">
        <w:rPr>
          <w:rFonts w:ascii="Palatino Linotype" w:hAnsi="Palatino Linotype"/>
          <w:i/>
          <w:sz w:val="22"/>
          <w:szCs w:val="22"/>
        </w:rPr>
        <w:t>IV. Admitido el recurso de revisión, aparezca alguna causal de improcedencia en los términos de la presente Ley; y</w:t>
      </w:r>
    </w:p>
    <w:p w:rsidR="005C1114" w:rsidRPr="002F137E" w:rsidRDefault="005C1114" w:rsidP="005C1114">
      <w:pPr>
        <w:pStyle w:val="Prrafodelista"/>
        <w:numPr>
          <w:ilvl w:val="0"/>
          <w:numId w:val="1"/>
        </w:numPr>
        <w:ind w:left="851" w:right="902" w:firstLine="0"/>
        <w:jc w:val="both"/>
        <w:rPr>
          <w:rFonts w:ascii="Palatino Linotype" w:hAnsi="Palatino Linotype"/>
          <w:i/>
          <w:sz w:val="22"/>
          <w:szCs w:val="22"/>
        </w:rPr>
      </w:pPr>
      <w:r w:rsidRPr="002F137E">
        <w:rPr>
          <w:rFonts w:ascii="Palatino Linotype" w:hAnsi="Palatino Linotype"/>
          <w:b/>
          <w:i/>
          <w:sz w:val="22"/>
          <w:szCs w:val="22"/>
        </w:rPr>
        <w:t>Cuando por cualquier motivo quede sin materia el recurso.</w:t>
      </w:r>
      <w:r w:rsidRPr="002F137E">
        <w:rPr>
          <w:rFonts w:ascii="Palatino Linotype" w:hAnsi="Palatino Linotype"/>
          <w:i/>
          <w:sz w:val="22"/>
          <w:szCs w:val="22"/>
        </w:rPr>
        <w:t>”</w:t>
      </w:r>
    </w:p>
    <w:p w:rsidR="00D07727" w:rsidRPr="00E91339" w:rsidRDefault="00D07727" w:rsidP="005C1114">
      <w:pPr>
        <w:spacing w:before="100" w:beforeAutospacing="1" w:after="100" w:afterAutospacing="1" w:line="360" w:lineRule="auto"/>
        <w:jc w:val="both"/>
        <w:rPr>
          <w:rFonts w:ascii="Palatino Linotype" w:hAnsi="Palatino Linotype" w:cs="Arial"/>
        </w:rPr>
      </w:pPr>
      <w:r w:rsidRPr="00E91339">
        <w:rPr>
          <w:rFonts w:ascii="Palatino Linotype" w:hAnsi="Palatino Linotype" w:cs="Arial"/>
        </w:rPr>
        <w:lastRenderedPageBreak/>
        <w:t xml:space="preserve">Es por lo anteriormente expuesto </w:t>
      </w:r>
      <w:r w:rsidR="00F87C5C">
        <w:rPr>
          <w:rFonts w:ascii="Palatino Linotype" w:hAnsi="Palatino Linotype" w:cs="Arial"/>
        </w:rPr>
        <w:t xml:space="preserve">que </w:t>
      </w:r>
      <w:r w:rsidRPr="00E91339">
        <w:rPr>
          <w:rFonts w:ascii="Palatino Linotype" w:hAnsi="Palatino Linotype" w:cs="Arial"/>
        </w:rPr>
        <w:t xml:space="preserve">la </w:t>
      </w:r>
      <w:r w:rsidR="005C1114">
        <w:rPr>
          <w:rFonts w:ascii="Palatino Linotype" w:hAnsi="Palatino Linotype" w:cs="Arial"/>
        </w:rPr>
        <w:t xml:space="preserve">suscrita </w:t>
      </w:r>
      <w:r w:rsidRPr="00E91339">
        <w:rPr>
          <w:rFonts w:ascii="Palatino Linotype" w:hAnsi="Palatino Linotype" w:cs="Arial"/>
          <w:lang w:eastAsia="es-MX"/>
        </w:rPr>
        <w:t xml:space="preserve">emite </w:t>
      </w:r>
      <w:r w:rsidRPr="00E91339">
        <w:rPr>
          <w:rFonts w:ascii="Palatino Linotype" w:hAnsi="Palatino Linotype" w:cs="Arial"/>
          <w:b/>
          <w:lang w:eastAsia="es-MX"/>
        </w:rPr>
        <w:t xml:space="preserve">VOTO PARTICULAR </w:t>
      </w:r>
      <w:r w:rsidRPr="00E91339">
        <w:rPr>
          <w:rFonts w:ascii="Palatino Linotype" w:hAnsi="Palatino Linotype" w:cs="Arial"/>
          <w:lang w:eastAsia="es-MX"/>
        </w:rPr>
        <w:t xml:space="preserve">a fin de precisar que lo procedente era </w:t>
      </w:r>
      <w:r w:rsidRPr="00E91339">
        <w:rPr>
          <w:rFonts w:ascii="Palatino Linotype" w:hAnsi="Palatino Linotype" w:cs="Arial"/>
          <w:b/>
        </w:rPr>
        <w:t>sobreseer</w:t>
      </w:r>
      <w:r w:rsidRPr="00E91339">
        <w:rPr>
          <w:rFonts w:ascii="Palatino Linotype" w:hAnsi="Palatino Linotype" w:cs="Arial"/>
          <w:lang w:eastAsia="es-MX"/>
        </w:rPr>
        <w:t xml:space="preserve"> e</w:t>
      </w:r>
      <w:r w:rsidR="0029443E">
        <w:rPr>
          <w:rFonts w:ascii="Palatino Linotype" w:hAnsi="Palatino Linotype" w:cs="Arial"/>
          <w:lang w:eastAsia="es-MX"/>
        </w:rPr>
        <w:t xml:space="preserve">l recurso de revisión de mérito </w:t>
      </w:r>
      <w:r w:rsidRPr="00E91339">
        <w:rPr>
          <w:rFonts w:ascii="Palatino Linotype" w:hAnsi="Palatino Linotype" w:cs="Arial"/>
          <w:lang w:eastAsia="es-MX"/>
        </w:rPr>
        <w:t>con fundamen</w:t>
      </w:r>
      <w:r w:rsidR="00622355">
        <w:rPr>
          <w:rFonts w:ascii="Palatino Linotype" w:hAnsi="Palatino Linotype" w:cs="Arial"/>
          <w:lang w:eastAsia="es-MX"/>
        </w:rPr>
        <w:t>to en el numeral 192</w:t>
      </w:r>
      <w:r w:rsidR="00F87C5C">
        <w:rPr>
          <w:rFonts w:ascii="Palatino Linotype" w:hAnsi="Palatino Linotype" w:cs="Arial"/>
          <w:lang w:eastAsia="es-MX"/>
        </w:rPr>
        <w:t>,</w:t>
      </w:r>
      <w:r w:rsidR="00622355">
        <w:rPr>
          <w:rFonts w:ascii="Palatino Linotype" w:hAnsi="Palatino Linotype" w:cs="Arial"/>
          <w:lang w:eastAsia="es-MX"/>
        </w:rPr>
        <w:t xml:space="preserve"> fracción V</w:t>
      </w:r>
      <w:r w:rsidRPr="00E91339">
        <w:rPr>
          <w:rFonts w:ascii="Palatino Linotype" w:hAnsi="Palatino Linotype" w:cs="Arial"/>
          <w:lang w:eastAsia="es-MX"/>
        </w:rPr>
        <w:t xml:space="preserve"> de la Ley de Transparencia y Acceso a la Información Pública del Estado de México, </w:t>
      </w:r>
      <w:r w:rsidRPr="00E91339">
        <w:rPr>
          <w:rFonts w:ascii="Palatino Linotype" w:hAnsi="Palatino Linotype" w:cs="Arial"/>
        </w:rPr>
        <w:t>al actualizarse la causal de improcedencia del recurso por haber quedado sin materia.</w:t>
      </w:r>
    </w:p>
    <w:tbl>
      <w:tblPr>
        <w:tblW w:w="4393" w:type="dxa"/>
        <w:jc w:val="center"/>
        <w:tblLayout w:type="fixed"/>
        <w:tblLook w:val="04A0" w:firstRow="1" w:lastRow="0" w:firstColumn="1" w:lastColumn="0" w:noHBand="0" w:noVBand="1"/>
      </w:tblPr>
      <w:tblGrid>
        <w:gridCol w:w="4393"/>
      </w:tblGrid>
      <w:tr w:rsidR="00D07727" w:rsidRPr="00E91339" w:rsidTr="00AD2129">
        <w:trPr>
          <w:jc w:val="center"/>
        </w:trPr>
        <w:tc>
          <w:tcPr>
            <w:tcW w:w="4393" w:type="dxa"/>
          </w:tcPr>
          <w:p w:rsidR="005D22FB" w:rsidRDefault="005D22FB" w:rsidP="005C1114">
            <w:pPr>
              <w:spacing w:before="100" w:beforeAutospacing="1" w:after="100" w:afterAutospacing="1" w:line="360" w:lineRule="auto"/>
              <w:jc w:val="center"/>
              <w:rPr>
                <w:rFonts w:ascii="Palatino Linotype" w:hAnsi="Palatino Linotype"/>
                <w:b/>
              </w:rPr>
            </w:pPr>
          </w:p>
          <w:p w:rsidR="00E91339" w:rsidRDefault="00E91339" w:rsidP="005C1114">
            <w:pPr>
              <w:spacing w:before="100" w:beforeAutospacing="1" w:after="100" w:afterAutospacing="1" w:line="360" w:lineRule="auto"/>
              <w:jc w:val="center"/>
              <w:rPr>
                <w:rFonts w:ascii="Palatino Linotype" w:hAnsi="Palatino Linotype"/>
                <w:b/>
              </w:rPr>
            </w:pPr>
          </w:p>
          <w:p w:rsidR="005C1114" w:rsidRDefault="005C1114" w:rsidP="005C1114">
            <w:pPr>
              <w:spacing w:before="100" w:beforeAutospacing="1" w:after="100" w:afterAutospacing="1" w:line="360" w:lineRule="auto"/>
              <w:jc w:val="center"/>
              <w:rPr>
                <w:rFonts w:ascii="Palatino Linotype" w:hAnsi="Palatino Linotype"/>
                <w:b/>
              </w:rPr>
            </w:pPr>
          </w:p>
          <w:p w:rsidR="005C1114" w:rsidRDefault="005C1114" w:rsidP="005C1114">
            <w:pPr>
              <w:spacing w:before="100" w:beforeAutospacing="1" w:after="100" w:afterAutospacing="1" w:line="360" w:lineRule="auto"/>
              <w:jc w:val="center"/>
              <w:rPr>
                <w:rFonts w:ascii="Palatino Linotype" w:hAnsi="Palatino Linotype"/>
                <w:b/>
              </w:rPr>
            </w:pPr>
          </w:p>
          <w:p w:rsidR="005C1114" w:rsidRPr="00E91339" w:rsidRDefault="005C1114" w:rsidP="005C1114">
            <w:pPr>
              <w:spacing w:before="100" w:beforeAutospacing="1" w:after="100" w:afterAutospacing="1" w:line="360" w:lineRule="auto"/>
              <w:jc w:val="center"/>
              <w:rPr>
                <w:rFonts w:ascii="Palatino Linotype" w:hAnsi="Palatino Linotype"/>
                <w:b/>
              </w:rPr>
            </w:pPr>
          </w:p>
          <w:p w:rsidR="00D07727" w:rsidRPr="00E91339" w:rsidRDefault="00D07727" w:rsidP="005C1114">
            <w:pPr>
              <w:jc w:val="center"/>
              <w:rPr>
                <w:rFonts w:ascii="Palatino Linotype" w:hAnsi="Palatino Linotype"/>
                <w:b/>
              </w:rPr>
            </w:pPr>
            <w:r w:rsidRPr="00E91339">
              <w:rPr>
                <w:rFonts w:ascii="Palatino Linotype" w:hAnsi="Palatino Linotype"/>
                <w:b/>
              </w:rPr>
              <w:t>EVA ABAID YAPUR</w:t>
            </w:r>
          </w:p>
          <w:p w:rsidR="00D07727" w:rsidRDefault="00D07727" w:rsidP="00951C94">
            <w:pPr>
              <w:jc w:val="center"/>
              <w:rPr>
                <w:rFonts w:ascii="Palatino Linotype" w:hAnsi="Palatino Linotype"/>
                <w:b/>
              </w:rPr>
            </w:pPr>
            <w:r w:rsidRPr="00E91339">
              <w:rPr>
                <w:rFonts w:ascii="Palatino Linotype" w:hAnsi="Palatino Linotype"/>
                <w:b/>
              </w:rPr>
              <w:t>COMISIONADA</w:t>
            </w:r>
          </w:p>
          <w:p w:rsidR="008C09B6" w:rsidRPr="00E91339" w:rsidRDefault="008C09B6" w:rsidP="00951C94">
            <w:pPr>
              <w:jc w:val="center"/>
              <w:rPr>
                <w:rFonts w:ascii="Palatino Linotype" w:hAnsi="Palatino Linotype"/>
                <w:b/>
              </w:rPr>
            </w:pPr>
            <w:r>
              <w:rPr>
                <w:rFonts w:ascii="Palatino Linotype" w:hAnsi="Palatino Linotype" w:cs="Arial"/>
                <w:b/>
              </w:rPr>
              <w:t>(RÚBRICA)</w:t>
            </w:r>
          </w:p>
        </w:tc>
      </w:tr>
    </w:tbl>
    <w:p w:rsidR="00E91339" w:rsidRPr="00E91339" w:rsidRDefault="00E91339" w:rsidP="005C1114">
      <w:pPr>
        <w:spacing w:before="100" w:beforeAutospacing="1" w:after="100" w:afterAutospacing="1" w:line="360" w:lineRule="auto"/>
        <w:jc w:val="both"/>
        <w:rPr>
          <w:rFonts w:ascii="Palatino Linotype" w:eastAsia="Calibri" w:hAnsi="Palatino Linotype" w:cs="Arial"/>
          <w:color w:val="000000" w:themeColor="text1"/>
        </w:rPr>
      </w:pPr>
    </w:p>
    <w:p w:rsidR="005C1114" w:rsidRDefault="005C1114" w:rsidP="005C1114">
      <w:pPr>
        <w:jc w:val="both"/>
        <w:rPr>
          <w:rFonts w:ascii="Palatino Linotype" w:eastAsia="Calibri" w:hAnsi="Palatino Linotype" w:cs="Arial"/>
          <w:color w:val="000000" w:themeColor="text1"/>
          <w:sz w:val="20"/>
        </w:rPr>
      </w:pPr>
    </w:p>
    <w:p w:rsidR="005C1114" w:rsidRDefault="005C1114" w:rsidP="005C1114">
      <w:pPr>
        <w:jc w:val="both"/>
        <w:rPr>
          <w:rFonts w:ascii="Palatino Linotype" w:eastAsia="Calibri" w:hAnsi="Palatino Linotype" w:cs="Arial"/>
          <w:color w:val="000000" w:themeColor="text1"/>
          <w:sz w:val="20"/>
        </w:rPr>
      </w:pPr>
    </w:p>
    <w:p w:rsidR="005C1114" w:rsidRDefault="005C1114" w:rsidP="005C1114">
      <w:pPr>
        <w:jc w:val="both"/>
        <w:rPr>
          <w:rFonts w:ascii="Palatino Linotype" w:eastAsia="Calibri" w:hAnsi="Palatino Linotype" w:cs="Arial"/>
          <w:color w:val="000000" w:themeColor="text1"/>
          <w:sz w:val="20"/>
        </w:rPr>
      </w:pPr>
    </w:p>
    <w:p w:rsidR="005F494C" w:rsidRDefault="00D07727" w:rsidP="005C1114">
      <w:pPr>
        <w:jc w:val="both"/>
        <w:rPr>
          <w:rFonts w:ascii="Palatino Linotype" w:eastAsia="Calibri" w:hAnsi="Palatino Linotype" w:cs="Arial"/>
          <w:color w:val="000000" w:themeColor="text1"/>
          <w:sz w:val="20"/>
        </w:rPr>
      </w:pPr>
      <w:r w:rsidRPr="00E91339">
        <w:rPr>
          <w:rFonts w:ascii="Palatino Linotype" w:eastAsia="Calibri" w:hAnsi="Palatino Linotype" w:cs="Arial"/>
          <w:color w:val="000000" w:themeColor="text1"/>
          <w:sz w:val="20"/>
        </w:rPr>
        <w:t>Esta hoja corresponde al voto par</w:t>
      </w:r>
      <w:bookmarkStart w:id="0" w:name="_GoBack"/>
      <w:bookmarkEnd w:id="0"/>
      <w:r w:rsidRPr="00E91339">
        <w:rPr>
          <w:rFonts w:ascii="Palatino Linotype" w:eastAsia="Calibri" w:hAnsi="Palatino Linotype" w:cs="Arial"/>
          <w:color w:val="000000" w:themeColor="text1"/>
          <w:sz w:val="20"/>
        </w:rPr>
        <w:t xml:space="preserve">ticular emitido en </w:t>
      </w:r>
      <w:r w:rsidR="0029443E">
        <w:rPr>
          <w:rFonts w:ascii="Palatino Linotype" w:eastAsia="Calibri" w:hAnsi="Palatino Linotype" w:cs="Arial"/>
          <w:color w:val="000000" w:themeColor="text1"/>
          <w:sz w:val="20"/>
        </w:rPr>
        <w:t>la resolución d</w:t>
      </w:r>
      <w:r w:rsidRPr="00E91339">
        <w:rPr>
          <w:rFonts w:ascii="Palatino Linotype" w:eastAsia="Calibri" w:hAnsi="Palatino Linotype" w:cs="Arial"/>
          <w:color w:val="000000" w:themeColor="text1"/>
          <w:sz w:val="20"/>
        </w:rPr>
        <w:t>el recurso de revisión 0</w:t>
      </w:r>
      <w:r w:rsidR="0029443E">
        <w:rPr>
          <w:rFonts w:ascii="Palatino Linotype" w:eastAsia="Calibri" w:hAnsi="Palatino Linotype" w:cs="Arial"/>
          <w:color w:val="000000" w:themeColor="text1"/>
          <w:sz w:val="20"/>
        </w:rPr>
        <w:t>2376</w:t>
      </w:r>
      <w:r w:rsidR="004F5754" w:rsidRPr="00E91339">
        <w:rPr>
          <w:rFonts w:ascii="Palatino Linotype" w:eastAsia="Calibri" w:hAnsi="Palatino Linotype" w:cs="Arial"/>
          <w:color w:val="000000" w:themeColor="text1"/>
          <w:sz w:val="20"/>
        </w:rPr>
        <w:t>/</w:t>
      </w:r>
      <w:r w:rsidRPr="00E91339">
        <w:rPr>
          <w:rFonts w:ascii="Palatino Linotype" w:eastAsia="Calibri" w:hAnsi="Palatino Linotype" w:cs="Arial"/>
          <w:color w:val="000000" w:themeColor="text1"/>
          <w:sz w:val="20"/>
        </w:rPr>
        <w:t>INFOEM/IP/RR/201</w:t>
      </w:r>
      <w:r w:rsidR="00812082" w:rsidRPr="00E91339">
        <w:rPr>
          <w:rFonts w:ascii="Palatino Linotype" w:eastAsia="Calibri" w:hAnsi="Palatino Linotype" w:cs="Arial"/>
          <w:color w:val="000000" w:themeColor="text1"/>
          <w:sz w:val="20"/>
        </w:rPr>
        <w:t>8</w:t>
      </w:r>
      <w:r w:rsidR="00257E58" w:rsidRPr="00E91339">
        <w:rPr>
          <w:rFonts w:ascii="Palatino Linotype" w:eastAsia="Calibri" w:hAnsi="Palatino Linotype" w:cs="Arial"/>
          <w:color w:val="000000" w:themeColor="text1"/>
          <w:sz w:val="20"/>
        </w:rPr>
        <w:t xml:space="preserve"> aprobada</w:t>
      </w:r>
      <w:r w:rsidRPr="00E91339">
        <w:rPr>
          <w:rFonts w:ascii="Palatino Linotype" w:eastAsia="Calibri" w:hAnsi="Palatino Linotype" w:cs="Arial"/>
          <w:color w:val="000000" w:themeColor="text1"/>
          <w:sz w:val="20"/>
        </w:rPr>
        <w:t xml:space="preserve"> el </w:t>
      </w:r>
      <w:r w:rsidR="0029443E">
        <w:rPr>
          <w:rFonts w:ascii="Palatino Linotype" w:eastAsia="Calibri" w:hAnsi="Palatino Linotype" w:cs="Arial"/>
          <w:color w:val="000000" w:themeColor="text1"/>
          <w:sz w:val="20"/>
        </w:rPr>
        <w:t>quince</w:t>
      </w:r>
      <w:r w:rsidR="004F5754" w:rsidRPr="00E91339">
        <w:rPr>
          <w:rFonts w:ascii="Palatino Linotype" w:eastAsia="Calibri" w:hAnsi="Palatino Linotype" w:cs="Arial"/>
          <w:color w:val="000000" w:themeColor="text1"/>
          <w:sz w:val="20"/>
        </w:rPr>
        <w:t xml:space="preserve"> de </w:t>
      </w:r>
      <w:r w:rsidR="0029443E">
        <w:rPr>
          <w:rFonts w:ascii="Palatino Linotype" w:eastAsia="Calibri" w:hAnsi="Palatino Linotype" w:cs="Arial"/>
          <w:color w:val="000000" w:themeColor="text1"/>
          <w:sz w:val="20"/>
        </w:rPr>
        <w:t>agosto</w:t>
      </w:r>
      <w:r w:rsidR="005D22FB" w:rsidRPr="00E91339">
        <w:rPr>
          <w:rFonts w:ascii="Palatino Linotype" w:eastAsia="Calibri" w:hAnsi="Palatino Linotype" w:cs="Arial"/>
          <w:color w:val="000000" w:themeColor="text1"/>
          <w:sz w:val="20"/>
        </w:rPr>
        <w:t xml:space="preserve"> </w:t>
      </w:r>
      <w:r w:rsidRPr="00E91339">
        <w:rPr>
          <w:rFonts w:ascii="Palatino Linotype" w:eastAsia="Calibri" w:hAnsi="Palatino Linotype" w:cs="Arial"/>
          <w:color w:val="000000" w:themeColor="text1"/>
          <w:sz w:val="20"/>
        </w:rPr>
        <w:t xml:space="preserve">de dos mil dieciocho. </w:t>
      </w:r>
    </w:p>
    <w:p w:rsidR="005F494C" w:rsidRPr="005F494C" w:rsidRDefault="005F494C" w:rsidP="005C1114">
      <w:pPr>
        <w:jc w:val="both"/>
        <w:rPr>
          <w:rFonts w:ascii="Palatino Linotype" w:eastAsia="Calibri" w:hAnsi="Palatino Linotype" w:cs="Arial"/>
          <w:color w:val="000000" w:themeColor="text1"/>
          <w:sz w:val="4"/>
        </w:rPr>
      </w:pPr>
    </w:p>
    <w:p w:rsidR="00257E58" w:rsidRPr="00E91339" w:rsidRDefault="0029443E" w:rsidP="005C1114">
      <w:pPr>
        <w:jc w:val="both"/>
        <w:rPr>
          <w:rFonts w:ascii="Palatino Linotype" w:eastAsia="Calibri" w:hAnsi="Palatino Linotype" w:cs="Arial"/>
          <w:color w:val="000000" w:themeColor="text1"/>
          <w:sz w:val="20"/>
        </w:rPr>
      </w:pPr>
      <w:r>
        <w:rPr>
          <w:rFonts w:ascii="Palatino Linotype" w:eastAsia="Calibri" w:hAnsi="Palatino Linotype" w:cs="Arial"/>
          <w:color w:val="000000" w:themeColor="text1"/>
          <w:sz w:val="20"/>
        </w:rPr>
        <w:t>YSM/</w:t>
      </w:r>
      <w:r w:rsidR="00257E58" w:rsidRPr="00E91339">
        <w:rPr>
          <w:rFonts w:ascii="Palatino Linotype" w:eastAsia="Calibri" w:hAnsi="Palatino Linotype" w:cs="Arial"/>
          <w:color w:val="000000" w:themeColor="text1"/>
          <w:sz w:val="20"/>
        </w:rPr>
        <w:t>IAHA</w:t>
      </w:r>
    </w:p>
    <w:sectPr w:rsidR="00257E58" w:rsidRPr="00E91339" w:rsidSect="00EA6182">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2DA" w:rsidRDefault="006E12DA" w:rsidP="00D07727">
      <w:r>
        <w:separator/>
      </w:r>
    </w:p>
  </w:endnote>
  <w:endnote w:type="continuationSeparator" w:id="0">
    <w:p w:rsidR="006E12DA" w:rsidRDefault="006E12DA" w:rsidP="00D0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6E12DA" w:rsidP="003056D9">
    <w:pPr>
      <w:pStyle w:val="Piedepgina"/>
      <w:tabs>
        <w:tab w:val="clear" w:pos="4252"/>
        <w:tab w:val="left" w:pos="4228"/>
      </w:tabs>
      <w:rPr>
        <w:rFonts w:ascii="Palatino Linotype" w:hAnsi="Palatino Linotype" w:cs="Arial"/>
        <w:b/>
        <w:bCs/>
        <w:sz w:val="20"/>
        <w:szCs w:val="20"/>
      </w:rPr>
    </w:pPr>
  </w:p>
  <w:p w:rsidR="005C1114" w:rsidRDefault="005C1114" w:rsidP="003056D9">
    <w:pPr>
      <w:pStyle w:val="Piedepgina"/>
      <w:tabs>
        <w:tab w:val="clear" w:pos="4252"/>
        <w:tab w:val="left" w:pos="4228"/>
      </w:tabs>
      <w:rPr>
        <w:rFonts w:ascii="Palatino Linotype" w:hAnsi="Palatino Linotype" w:cs="Arial"/>
        <w:b/>
        <w:bCs/>
        <w:sz w:val="20"/>
        <w:szCs w:val="20"/>
      </w:rPr>
    </w:pPr>
  </w:p>
  <w:p w:rsidR="005C1114" w:rsidRDefault="005C1114" w:rsidP="003056D9">
    <w:pPr>
      <w:pStyle w:val="Piedepgina"/>
      <w:tabs>
        <w:tab w:val="clear" w:pos="4252"/>
        <w:tab w:val="left" w:pos="4228"/>
      </w:tabs>
      <w:rPr>
        <w:rFonts w:ascii="Palatino Linotype" w:hAnsi="Palatino Linotype" w:cs="Arial"/>
        <w:b/>
        <w:bCs/>
        <w:sz w:val="20"/>
        <w:szCs w:val="20"/>
      </w:rPr>
    </w:pPr>
  </w:p>
  <w:p w:rsidR="003056D9" w:rsidRDefault="006E12DA" w:rsidP="003056D9">
    <w:pPr>
      <w:pStyle w:val="Piedepgina"/>
      <w:tabs>
        <w:tab w:val="clear" w:pos="4252"/>
        <w:tab w:val="left" w:pos="4228"/>
      </w:tabs>
      <w:rPr>
        <w:rFonts w:ascii="Palatino Linotype" w:hAnsi="Palatino Linotype" w:cs="Arial"/>
        <w:b/>
        <w:bCs/>
        <w:sz w:val="20"/>
        <w:szCs w:val="20"/>
      </w:rPr>
    </w:pPr>
  </w:p>
  <w:p w:rsidR="003056D9" w:rsidRDefault="006E12DA" w:rsidP="003056D9">
    <w:pPr>
      <w:pStyle w:val="Piedepgina"/>
      <w:tabs>
        <w:tab w:val="clear" w:pos="4252"/>
        <w:tab w:val="left" w:pos="4228"/>
      </w:tabs>
      <w:rPr>
        <w:rFonts w:ascii="Palatino Linotype" w:hAnsi="Palatino Linotype" w:cs="Arial"/>
        <w:b/>
        <w:bCs/>
        <w:sz w:val="20"/>
        <w:szCs w:val="20"/>
      </w:rPr>
    </w:pPr>
  </w:p>
  <w:p w:rsidR="00455CB3" w:rsidRDefault="006E12DA" w:rsidP="000E2B1A">
    <w:pPr>
      <w:pStyle w:val="Piedepgina"/>
      <w:rPr>
        <w:rFonts w:ascii="Palatino Linotype" w:hAnsi="Palatino Linotype" w:cs="Arial"/>
        <w:b/>
        <w:bCs/>
        <w:sz w:val="20"/>
        <w:szCs w:val="20"/>
      </w:rPr>
    </w:pPr>
  </w:p>
  <w:p w:rsidR="003056D9" w:rsidRPr="00F12350" w:rsidRDefault="001E3624"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C09B6">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C09B6">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6F30F8" w:rsidRDefault="006E12DA"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2DA" w:rsidRDefault="006E12DA" w:rsidP="00D07727">
      <w:r>
        <w:separator/>
      </w:r>
    </w:p>
  </w:footnote>
  <w:footnote w:type="continuationSeparator" w:id="0">
    <w:p w:rsidR="006E12DA" w:rsidRDefault="006E12DA" w:rsidP="00D07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6E12D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1E362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34EC692A" wp14:editId="6C8B51E3">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746661" w:rsidRDefault="006E12DA" w:rsidP="0034309A">
    <w:pPr>
      <w:pStyle w:val="Encabezado"/>
      <w:tabs>
        <w:tab w:val="clear" w:pos="4252"/>
        <w:tab w:val="clear" w:pos="8504"/>
        <w:tab w:val="left" w:pos="2326"/>
      </w:tabs>
      <w:jc w:val="right"/>
      <w:rPr>
        <w:rFonts w:ascii="Palatino Linotype" w:hAnsi="Palatino Linotype" w:cs="Arial"/>
        <w:sz w:val="20"/>
        <w:szCs w:val="20"/>
      </w:rPr>
    </w:pPr>
  </w:p>
  <w:p w:rsidR="00746661" w:rsidRDefault="006E12DA"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1E3624"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634485" w:rsidRDefault="001E3624"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197397">
      <w:rPr>
        <w:rFonts w:ascii="Palatino Linotype" w:hAnsi="Palatino Linotype" w:cs="Arial"/>
        <w:sz w:val="20"/>
        <w:szCs w:val="20"/>
      </w:rPr>
      <w:t>2376</w:t>
    </w:r>
    <w:r>
      <w:rPr>
        <w:rFonts w:ascii="Palatino Linotype" w:hAnsi="Palatino Linotype" w:cs="Arial"/>
        <w:sz w:val="20"/>
        <w:szCs w:val="20"/>
      </w:rPr>
      <w:t>/INFOEM/IP</w:t>
    </w:r>
    <w:r w:rsidRPr="00706042">
      <w:rPr>
        <w:rFonts w:ascii="Palatino Linotype" w:hAnsi="Palatino Linotype" w:cs="Arial"/>
        <w:sz w:val="20"/>
        <w:szCs w:val="20"/>
      </w:rPr>
      <w:t>/RR/201</w:t>
    </w:r>
    <w:r w:rsidR="00620028">
      <w:rPr>
        <w:rFonts w:ascii="Palatino Linotype" w:hAnsi="Palatino Linotype" w:cs="Arial"/>
        <w:sz w:val="20"/>
        <w:szCs w:val="20"/>
      </w:rPr>
      <w:t>8</w:t>
    </w:r>
  </w:p>
  <w:p w:rsidR="005C1114" w:rsidRDefault="005C1114" w:rsidP="0034309A">
    <w:pPr>
      <w:pStyle w:val="Encabezado"/>
      <w:tabs>
        <w:tab w:val="clear" w:pos="4252"/>
        <w:tab w:val="clear" w:pos="8504"/>
        <w:tab w:val="left" w:pos="2326"/>
      </w:tabs>
      <w:jc w:val="right"/>
      <w:rPr>
        <w:rFonts w:ascii="Palatino Linotype" w:hAnsi="Palatino Linotype" w:cs="Arial"/>
        <w:sz w:val="20"/>
        <w:szCs w:val="20"/>
      </w:rPr>
    </w:pPr>
  </w:p>
  <w:p w:rsidR="00EB7480" w:rsidRDefault="006E12DA" w:rsidP="0034309A">
    <w:pPr>
      <w:pStyle w:val="Encabezado"/>
      <w:tabs>
        <w:tab w:val="clear" w:pos="4252"/>
        <w:tab w:val="clear" w:pos="8504"/>
        <w:tab w:val="left" w:pos="2326"/>
      </w:tabs>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71.3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6E12D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804CA4"/>
    <w:multiLevelType w:val="hybridMultilevel"/>
    <w:tmpl w:val="D7A46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79D048C"/>
    <w:multiLevelType w:val="hybridMultilevel"/>
    <w:tmpl w:val="FEBE86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727"/>
    <w:rsid w:val="00002B07"/>
    <w:rsid w:val="00015A9E"/>
    <w:rsid w:val="000171D8"/>
    <w:rsid w:val="000B51A8"/>
    <w:rsid w:val="000C3CB9"/>
    <w:rsid w:val="00197397"/>
    <w:rsid w:val="001E3624"/>
    <w:rsid w:val="0020645C"/>
    <w:rsid w:val="00257E58"/>
    <w:rsid w:val="0029443E"/>
    <w:rsid w:val="002F137E"/>
    <w:rsid w:val="0034254E"/>
    <w:rsid w:val="003B7D25"/>
    <w:rsid w:val="004605B4"/>
    <w:rsid w:val="00490A00"/>
    <w:rsid w:val="004B157F"/>
    <w:rsid w:val="004F2D0D"/>
    <w:rsid w:val="004F5754"/>
    <w:rsid w:val="00501543"/>
    <w:rsid w:val="00504035"/>
    <w:rsid w:val="005860A5"/>
    <w:rsid w:val="005C1114"/>
    <w:rsid w:val="005D22FB"/>
    <w:rsid w:val="005E5450"/>
    <w:rsid w:val="005F494C"/>
    <w:rsid w:val="00604F1B"/>
    <w:rsid w:val="00620028"/>
    <w:rsid w:val="00622355"/>
    <w:rsid w:val="006C0315"/>
    <w:rsid w:val="006C126D"/>
    <w:rsid w:val="006E12DA"/>
    <w:rsid w:val="00740AE8"/>
    <w:rsid w:val="00757442"/>
    <w:rsid w:val="007A3F8C"/>
    <w:rsid w:val="007D1E1C"/>
    <w:rsid w:val="007D7A9C"/>
    <w:rsid w:val="007F0DFA"/>
    <w:rsid w:val="00812082"/>
    <w:rsid w:val="00844161"/>
    <w:rsid w:val="008526D4"/>
    <w:rsid w:val="00867D77"/>
    <w:rsid w:val="008A7BE6"/>
    <w:rsid w:val="008C09B6"/>
    <w:rsid w:val="00951C94"/>
    <w:rsid w:val="00A90DF2"/>
    <w:rsid w:val="00A96AE2"/>
    <w:rsid w:val="00AA3DF1"/>
    <w:rsid w:val="00AA57F9"/>
    <w:rsid w:val="00AA684A"/>
    <w:rsid w:val="00AB45DE"/>
    <w:rsid w:val="00AE5291"/>
    <w:rsid w:val="00B119A0"/>
    <w:rsid w:val="00B43C85"/>
    <w:rsid w:val="00B47DE9"/>
    <w:rsid w:val="00B621EC"/>
    <w:rsid w:val="00C1015F"/>
    <w:rsid w:val="00C23B43"/>
    <w:rsid w:val="00C613C7"/>
    <w:rsid w:val="00C9714C"/>
    <w:rsid w:val="00CB5C07"/>
    <w:rsid w:val="00CE2B79"/>
    <w:rsid w:val="00D07727"/>
    <w:rsid w:val="00D1365B"/>
    <w:rsid w:val="00D20B95"/>
    <w:rsid w:val="00D420DB"/>
    <w:rsid w:val="00DD025C"/>
    <w:rsid w:val="00DF6248"/>
    <w:rsid w:val="00E2547C"/>
    <w:rsid w:val="00E3553E"/>
    <w:rsid w:val="00E91339"/>
    <w:rsid w:val="00EA2449"/>
    <w:rsid w:val="00ED1014"/>
    <w:rsid w:val="00F240D7"/>
    <w:rsid w:val="00F37582"/>
    <w:rsid w:val="00F51093"/>
    <w:rsid w:val="00F87C5C"/>
    <w:rsid w:val="00FA5B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054B1CB-B311-4BB7-8600-847200F1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72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772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07727"/>
    <w:rPr>
      <w:rFonts w:eastAsiaTheme="minorEastAsia"/>
      <w:sz w:val="24"/>
      <w:szCs w:val="24"/>
      <w:lang w:val="es-ES_tradnl" w:eastAsia="es-ES"/>
    </w:rPr>
  </w:style>
  <w:style w:type="paragraph" w:styleId="Piedepgina">
    <w:name w:val="footer"/>
    <w:basedOn w:val="Normal"/>
    <w:link w:val="PiedepginaCar"/>
    <w:uiPriority w:val="99"/>
    <w:unhideWhenUsed/>
    <w:rsid w:val="00D0772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07727"/>
    <w:rPr>
      <w:rFonts w:eastAsiaTheme="minorEastAsia"/>
      <w:sz w:val="24"/>
      <w:szCs w:val="24"/>
      <w:lang w:val="es-ES_tradnl" w:eastAsia="es-ES"/>
    </w:rPr>
  </w:style>
  <w:style w:type="paragraph" w:styleId="Prrafodelista">
    <w:name w:val="List Paragraph"/>
    <w:basedOn w:val="Normal"/>
    <w:link w:val="PrrafodelistaCar"/>
    <w:uiPriority w:val="72"/>
    <w:qFormat/>
    <w:rsid w:val="00D07727"/>
    <w:pPr>
      <w:ind w:left="720"/>
      <w:contextualSpacing/>
    </w:pPr>
  </w:style>
  <w:style w:type="character" w:customStyle="1" w:styleId="PrrafodelistaCar">
    <w:name w:val="Párrafo de lista Car"/>
    <w:link w:val="Prrafodelista"/>
    <w:uiPriority w:val="72"/>
    <w:qFormat/>
    <w:locked/>
    <w:rsid w:val="00D0772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F57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5754"/>
    <w:rPr>
      <w:rFonts w:ascii="Segoe UI" w:eastAsia="Times New Roman" w:hAnsi="Segoe UI" w:cs="Segoe UI"/>
      <w:sz w:val="18"/>
      <w:szCs w:val="18"/>
      <w:lang w:eastAsia="es-ES"/>
    </w:rPr>
  </w:style>
  <w:style w:type="paragraph" w:styleId="Textoindependiente">
    <w:name w:val="Body Text"/>
    <w:basedOn w:val="Normal"/>
    <w:link w:val="TextoindependienteCar"/>
    <w:unhideWhenUsed/>
    <w:rsid w:val="00757442"/>
    <w:pPr>
      <w:spacing w:after="120"/>
    </w:pPr>
    <w:rPr>
      <w:lang w:val="es-ES"/>
    </w:rPr>
  </w:style>
  <w:style w:type="character" w:customStyle="1" w:styleId="TextoindependienteCar">
    <w:name w:val="Texto independiente Car"/>
    <w:basedOn w:val="Fuentedeprrafopredeter"/>
    <w:link w:val="Textoindependiente"/>
    <w:rsid w:val="00757442"/>
    <w:rPr>
      <w:rFonts w:ascii="Times New Roman" w:eastAsia="Times New Roman" w:hAnsi="Times New Roman" w:cs="Times New Roman"/>
      <w:sz w:val="24"/>
      <w:szCs w:val="24"/>
      <w:lang w:val="es-ES" w:eastAsia="es-ES"/>
    </w:rPr>
  </w:style>
  <w:style w:type="character" w:styleId="Hipervnculo">
    <w:name w:val="Hyperlink"/>
    <w:uiPriority w:val="99"/>
    <w:unhideWhenUsed/>
    <w:rsid w:val="00C613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964</Words>
  <Characters>5306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7</cp:revision>
  <cp:lastPrinted>2018-03-09T18:22:00Z</cp:lastPrinted>
  <dcterms:created xsi:type="dcterms:W3CDTF">2018-08-17T17:19:00Z</dcterms:created>
  <dcterms:modified xsi:type="dcterms:W3CDTF">2018-10-11T01:24:00Z</dcterms:modified>
</cp:coreProperties>
</file>